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08190" w14:textId="77777777" w:rsidR="00197678" w:rsidRPr="00F605B9" w:rsidRDefault="00197678" w:rsidP="00F605B9">
      <w:pPr>
        <w:spacing w:after="0" w:line="276" w:lineRule="auto"/>
        <w:jc w:val="center"/>
        <w:rPr>
          <w:rFonts w:ascii="Times New Roman" w:hAnsi="Times New Roman" w:cs="Times New Roman"/>
          <w:b/>
          <w:sz w:val="28"/>
          <w:szCs w:val="28"/>
        </w:rPr>
      </w:pPr>
      <w:r w:rsidRPr="00F605B9">
        <w:rPr>
          <w:rFonts w:ascii="Times New Roman" w:hAnsi="Times New Roman" w:cs="Times New Roman"/>
          <w:b/>
          <w:sz w:val="28"/>
          <w:szCs w:val="28"/>
        </w:rPr>
        <w:t>RELACION</w:t>
      </w:r>
    </w:p>
    <w:p w14:paraId="79E805B2" w14:textId="77777777" w:rsidR="00197678" w:rsidRPr="00F605B9" w:rsidRDefault="00197678" w:rsidP="00051667">
      <w:pPr>
        <w:spacing w:after="0" w:line="276" w:lineRule="auto"/>
        <w:rPr>
          <w:rFonts w:ascii="Times New Roman" w:hAnsi="Times New Roman" w:cs="Times New Roman"/>
          <w:sz w:val="28"/>
          <w:szCs w:val="28"/>
        </w:rPr>
      </w:pPr>
    </w:p>
    <w:p w14:paraId="43E554EC" w14:textId="2F559E9E" w:rsidR="00197678" w:rsidRPr="00F605B9" w:rsidRDefault="00197678" w:rsidP="00051667">
      <w:pPr>
        <w:spacing w:after="0" w:line="276" w:lineRule="auto"/>
        <w:jc w:val="center"/>
        <w:rPr>
          <w:rFonts w:ascii="Times New Roman" w:hAnsi="Times New Roman" w:cs="Times New Roman"/>
          <w:b/>
          <w:sz w:val="28"/>
          <w:szCs w:val="28"/>
        </w:rPr>
      </w:pPr>
      <w:r w:rsidRPr="00F605B9">
        <w:rPr>
          <w:rFonts w:ascii="Times New Roman" w:hAnsi="Times New Roman" w:cs="Times New Roman"/>
          <w:b/>
          <w:sz w:val="28"/>
          <w:szCs w:val="28"/>
        </w:rPr>
        <w:t>MBI PROJEKTLIGJIN</w:t>
      </w:r>
    </w:p>
    <w:p w14:paraId="4FF7A9AA" w14:textId="30D51BB7" w:rsidR="00197678" w:rsidRPr="00051667" w:rsidRDefault="00197678" w:rsidP="00051667">
      <w:pPr>
        <w:spacing w:after="0" w:line="276" w:lineRule="auto"/>
        <w:jc w:val="center"/>
        <w:rPr>
          <w:rFonts w:ascii="Times New Roman" w:hAnsi="Times New Roman" w:cs="Times New Roman"/>
          <w:b/>
        </w:rPr>
      </w:pPr>
      <w:r w:rsidRPr="00F605B9">
        <w:rPr>
          <w:rFonts w:ascii="Times New Roman" w:hAnsi="Times New Roman" w:cs="Times New Roman"/>
          <w:b/>
          <w:sz w:val="28"/>
          <w:szCs w:val="28"/>
        </w:rPr>
        <w:t>“PËR TREGJET E KRIPTO</w:t>
      </w:r>
      <w:r w:rsidR="00572656" w:rsidRPr="00F605B9">
        <w:rPr>
          <w:rFonts w:ascii="Times New Roman" w:hAnsi="Times New Roman" w:cs="Times New Roman"/>
          <w:b/>
          <w:sz w:val="28"/>
          <w:szCs w:val="28"/>
        </w:rPr>
        <w:t>-</w:t>
      </w:r>
      <w:r w:rsidRPr="00F605B9">
        <w:rPr>
          <w:rFonts w:ascii="Times New Roman" w:hAnsi="Times New Roman" w:cs="Times New Roman"/>
          <w:b/>
          <w:sz w:val="28"/>
          <w:szCs w:val="28"/>
        </w:rPr>
        <w:t>ASETEVE”</w:t>
      </w:r>
    </w:p>
    <w:p w14:paraId="6B34C6FB" w14:textId="77777777" w:rsidR="00197678" w:rsidRPr="00051667" w:rsidRDefault="00197678" w:rsidP="00051667">
      <w:pPr>
        <w:spacing w:after="0" w:line="276" w:lineRule="auto"/>
        <w:jc w:val="center"/>
        <w:rPr>
          <w:rFonts w:ascii="Times New Roman" w:hAnsi="Times New Roman" w:cs="Times New Roman"/>
        </w:rPr>
      </w:pPr>
    </w:p>
    <w:p w14:paraId="62C27E6C" w14:textId="77777777" w:rsidR="00197678" w:rsidRPr="00051667" w:rsidRDefault="00197678" w:rsidP="00051667">
      <w:pPr>
        <w:spacing w:after="0" w:line="276" w:lineRule="auto"/>
        <w:jc w:val="center"/>
        <w:rPr>
          <w:rFonts w:ascii="Times New Roman" w:hAnsi="Times New Roman" w:cs="Times New Roman"/>
        </w:rPr>
      </w:pPr>
    </w:p>
    <w:p w14:paraId="22801F26" w14:textId="77777777" w:rsidR="00197678" w:rsidRPr="00051667" w:rsidRDefault="00197678" w:rsidP="00051667">
      <w:pPr>
        <w:spacing w:after="0" w:line="276" w:lineRule="auto"/>
        <w:ind w:left="1080" w:hanging="720"/>
        <w:jc w:val="both"/>
        <w:rPr>
          <w:rFonts w:ascii="Times New Roman" w:hAnsi="Times New Roman" w:cs="Times New Roman"/>
        </w:rPr>
      </w:pPr>
    </w:p>
    <w:p w14:paraId="3A4B85D7" w14:textId="45336F2D" w:rsidR="006B1FDD" w:rsidRPr="00051667" w:rsidRDefault="006B1FDD" w:rsidP="00051667">
      <w:pPr>
        <w:pStyle w:val="ListParagraph"/>
        <w:numPr>
          <w:ilvl w:val="0"/>
          <w:numId w:val="3"/>
        </w:numPr>
        <w:spacing w:after="0" w:line="276" w:lineRule="auto"/>
        <w:jc w:val="both"/>
        <w:rPr>
          <w:rFonts w:ascii="Times New Roman" w:hAnsi="Times New Roman" w:cs="Times New Roman"/>
          <w:b/>
          <w:noProof/>
        </w:rPr>
      </w:pPr>
      <w:r w:rsidRPr="00051667">
        <w:rPr>
          <w:rFonts w:ascii="Times New Roman" w:hAnsi="Times New Roman" w:cs="Times New Roman"/>
          <w:b/>
          <w:noProof/>
        </w:rPr>
        <w:t xml:space="preserve">QËLLIMI I PROJEKTLIGJIT DHE OBJEKTIVAT QË SYNOHEN TË ARRIHEN </w:t>
      </w:r>
    </w:p>
    <w:p w14:paraId="7E5A5587" w14:textId="77777777" w:rsidR="006B1FDD" w:rsidRPr="00051667" w:rsidRDefault="006B1FDD" w:rsidP="00051667">
      <w:pPr>
        <w:spacing w:after="0" w:line="276" w:lineRule="auto"/>
        <w:jc w:val="both"/>
        <w:rPr>
          <w:rFonts w:ascii="Times New Roman" w:hAnsi="Times New Roman" w:cs="Times New Roman"/>
          <w:noProof/>
        </w:rPr>
      </w:pPr>
    </w:p>
    <w:p w14:paraId="725F7F87" w14:textId="54D8F40A" w:rsidR="009E4B97" w:rsidRPr="00051667" w:rsidRDefault="00887029" w:rsidP="00051667">
      <w:pPr>
        <w:spacing w:after="0" w:line="276" w:lineRule="auto"/>
        <w:jc w:val="both"/>
        <w:rPr>
          <w:rFonts w:ascii="Times New Roman" w:hAnsi="Times New Roman" w:cs="Times New Roman"/>
          <w:b/>
        </w:rPr>
      </w:pPr>
      <w:r w:rsidRPr="00051667">
        <w:rPr>
          <w:rFonts w:ascii="Times New Roman" w:hAnsi="Times New Roman" w:cs="Times New Roman"/>
          <w:noProof/>
        </w:rPr>
        <w:t>Qëllimi i projektligji</w:t>
      </w:r>
      <w:r w:rsidR="002330E0" w:rsidRPr="00051667">
        <w:rPr>
          <w:rFonts w:ascii="Times New Roman" w:hAnsi="Times New Roman" w:cs="Times New Roman"/>
          <w:noProof/>
        </w:rPr>
        <w:t>t</w:t>
      </w:r>
      <w:r w:rsidRPr="00051667">
        <w:rPr>
          <w:rFonts w:ascii="Times New Roman" w:hAnsi="Times New Roman" w:cs="Times New Roman"/>
          <w:noProof/>
        </w:rPr>
        <w:t xml:space="preserve"> </w:t>
      </w:r>
      <w:r w:rsidR="002330E0" w:rsidRPr="00051667">
        <w:rPr>
          <w:rFonts w:ascii="Times New Roman" w:hAnsi="Times New Roman" w:cs="Times New Roman"/>
          <w:bCs/>
        </w:rPr>
        <w:t xml:space="preserve">“Për Tregjet e </w:t>
      </w:r>
      <w:proofErr w:type="spellStart"/>
      <w:r w:rsidR="002330E0" w:rsidRPr="00051667">
        <w:rPr>
          <w:rFonts w:ascii="Times New Roman" w:hAnsi="Times New Roman" w:cs="Times New Roman"/>
          <w:bCs/>
        </w:rPr>
        <w:t>Kripto</w:t>
      </w:r>
      <w:r w:rsidR="00572656" w:rsidRPr="00051667">
        <w:rPr>
          <w:rFonts w:ascii="Times New Roman" w:hAnsi="Times New Roman" w:cs="Times New Roman"/>
          <w:bCs/>
        </w:rPr>
        <w:t>-</w:t>
      </w:r>
      <w:r w:rsidR="002330E0" w:rsidRPr="00051667">
        <w:rPr>
          <w:rFonts w:ascii="Times New Roman" w:hAnsi="Times New Roman" w:cs="Times New Roman"/>
          <w:bCs/>
        </w:rPr>
        <w:t>Aseteve</w:t>
      </w:r>
      <w:proofErr w:type="spellEnd"/>
      <w:r w:rsidR="002330E0" w:rsidRPr="00051667">
        <w:rPr>
          <w:rFonts w:ascii="Times New Roman" w:hAnsi="Times New Roman" w:cs="Times New Roman"/>
          <w:bCs/>
        </w:rPr>
        <w:t>”</w:t>
      </w:r>
      <w:r w:rsidR="002330E0" w:rsidRPr="00051667">
        <w:rPr>
          <w:rFonts w:ascii="Times New Roman" w:hAnsi="Times New Roman" w:cs="Times New Roman"/>
          <w:b/>
        </w:rPr>
        <w:t xml:space="preserve"> </w:t>
      </w:r>
      <w:r w:rsidR="0099725C" w:rsidRPr="00051667">
        <w:rPr>
          <w:rFonts w:ascii="Times New Roman" w:hAnsi="Times New Roman" w:cs="Times New Roman"/>
          <w:noProof/>
        </w:rPr>
        <w:t xml:space="preserve">është </w:t>
      </w:r>
      <w:r w:rsidRPr="00051667">
        <w:rPr>
          <w:rFonts w:ascii="Times New Roman" w:hAnsi="Times New Roman" w:cs="Times New Roman"/>
          <w:noProof/>
        </w:rPr>
        <w:t>vendos</w:t>
      </w:r>
      <w:r w:rsidR="0099725C" w:rsidRPr="00051667">
        <w:rPr>
          <w:rFonts w:ascii="Times New Roman" w:hAnsi="Times New Roman" w:cs="Times New Roman"/>
          <w:noProof/>
        </w:rPr>
        <w:t>ja e</w:t>
      </w:r>
      <w:r w:rsidRPr="00051667">
        <w:rPr>
          <w:rFonts w:ascii="Times New Roman" w:hAnsi="Times New Roman" w:cs="Times New Roman"/>
          <w:noProof/>
        </w:rPr>
        <w:t xml:space="preserve"> një kuadr</w:t>
      </w:r>
      <w:r w:rsidR="0099725C" w:rsidRPr="00051667">
        <w:rPr>
          <w:rFonts w:ascii="Times New Roman" w:hAnsi="Times New Roman" w:cs="Times New Roman"/>
          <w:noProof/>
        </w:rPr>
        <w:t>i</w:t>
      </w:r>
      <w:r w:rsidRPr="00051667">
        <w:rPr>
          <w:rFonts w:ascii="Times New Roman" w:hAnsi="Times New Roman" w:cs="Times New Roman"/>
          <w:noProof/>
        </w:rPr>
        <w:t xml:space="preserve"> gjithëpërfshirës ligjor për ushtrimin e veprimtarive të emetimit të kripto-aseteve dhe ofrimin e shërbimeve të lidhura me to</w:t>
      </w:r>
      <w:r w:rsidR="00E74A46" w:rsidRPr="00051667">
        <w:rPr>
          <w:rFonts w:ascii="Times New Roman" w:hAnsi="Times New Roman" w:cs="Times New Roman"/>
          <w:noProof/>
        </w:rPr>
        <w:t>,</w:t>
      </w:r>
      <w:r w:rsidR="0099725C" w:rsidRPr="00051667">
        <w:rPr>
          <w:rFonts w:ascii="Times New Roman" w:hAnsi="Times New Roman" w:cs="Times New Roman"/>
          <w:noProof/>
        </w:rPr>
        <w:t xml:space="preserve"> si dhe përafrimi i plotë me </w:t>
      </w:r>
      <w:r w:rsidR="0099725C" w:rsidRPr="00051667">
        <w:rPr>
          <w:rFonts w:ascii="Times New Roman" w:hAnsi="Times New Roman" w:cs="Times New Roman"/>
          <w:i/>
          <w:iCs/>
          <w:noProof/>
        </w:rPr>
        <w:t>acquis</w:t>
      </w:r>
      <w:r w:rsidR="0099725C" w:rsidRPr="00051667">
        <w:rPr>
          <w:rFonts w:ascii="Times New Roman" w:hAnsi="Times New Roman" w:cs="Times New Roman"/>
          <w:noProof/>
        </w:rPr>
        <w:t xml:space="preserve"> e Bashkimit Evropian në fushën e financave digjitale, duke përmbushur kështu detyrimet e Shqipërisë në procesin e anëtarësimit në Bashkimin Evropian</w:t>
      </w:r>
      <w:r w:rsidRPr="00051667">
        <w:rPr>
          <w:rFonts w:ascii="Times New Roman" w:hAnsi="Times New Roman" w:cs="Times New Roman"/>
          <w:noProof/>
        </w:rPr>
        <w:t xml:space="preserve">. </w:t>
      </w:r>
    </w:p>
    <w:p w14:paraId="27D50C29" w14:textId="77777777" w:rsidR="00AE5D7C" w:rsidRPr="00051667" w:rsidRDefault="00AE5D7C" w:rsidP="00051667">
      <w:pPr>
        <w:spacing w:after="0" w:line="276" w:lineRule="auto"/>
        <w:jc w:val="both"/>
        <w:rPr>
          <w:rFonts w:ascii="Times New Roman" w:hAnsi="Times New Roman" w:cs="Times New Roman"/>
          <w:noProof/>
        </w:rPr>
      </w:pPr>
    </w:p>
    <w:p w14:paraId="49448F0B" w14:textId="6A45436F" w:rsidR="00181A9B" w:rsidRPr="00051667" w:rsidRDefault="00887029"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Në këtë frymë, ky projektligj synon të </w:t>
      </w:r>
      <w:r w:rsidR="009E4B97" w:rsidRPr="00051667">
        <w:rPr>
          <w:rFonts w:ascii="Times New Roman" w:hAnsi="Times New Roman" w:cs="Times New Roman"/>
          <w:noProof/>
        </w:rPr>
        <w:t>transpozoj</w:t>
      </w:r>
      <w:r w:rsidR="00FD18FB" w:rsidRPr="00051667">
        <w:rPr>
          <w:rFonts w:ascii="Times New Roman" w:hAnsi="Times New Roman" w:cs="Times New Roman"/>
          <w:noProof/>
        </w:rPr>
        <w:t>ë</w:t>
      </w:r>
      <w:r w:rsidR="009E4B97" w:rsidRPr="00051667">
        <w:rPr>
          <w:rFonts w:ascii="Times New Roman" w:hAnsi="Times New Roman" w:cs="Times New Roman"/>
          <w:noProof/>
        </w:rPr>
        <w:t xml:space="preserve"> plot</w:t>
      </w:r>
      <w:r w:rsidR="00FD18FB" w:rsidRPr="00051667">
        <w:rPr>
          <w:rFonts w:ascii="Times New Roman" w:hAnsi="Times New Roman" w:cs="Times New Roman"/>
          <w:noProof/>
        </w:rPr>
        <w:t>ë</w:t>
      </w:r>
      <w:r w:rsidR="009E4B97" w:rsidRPr="00051667">
        <w:rPr>
          <w:rFonts w:ascii="Times New Roman" w:hAnsi="Times New Roman" w:cs="Times New Roman"/>
          <w:noProof/>
        </w:rPr>
        <w:t>sisht</w:t>
      </w:r>
      <w:r w:rsidRPr="00051667">
        <w:rPr>
          <w:rFonts w:ascii="Times New Roman" w:hAnsi="Times New Roman" w:cs="Times New Roman"/>
          <w:noProof/>
        </w:rPr>
        <w:t xml:space="preserve"> Rregulloren e BE 2023/1114</w:t>
      </w:r>
      <w:r w:rsidR="001C3CA1" w:rsidRPr="00051667">
        <w:rPr>
          <w:rFonts w:ascii="Times New Roman" w:hAnsi="Times New Roman" w:cs="Times New Roman"/>
          <w:noProof/>
        </w:rPr>
        <w:t>/EU</w:t>
      </w:r>
      <w:r w:rsidRPr="00051667">
        <w:rPr>
          <w:rFonts w:ascii="Times New Roman" w:hAnsi="Times New Roman" w:cs="Times New Roman"/>
          <w:noProof/>
        </w:rPr>
        <w:t xml:space="preserve"> “</w:t>
      </w:r>
      <w:r w:rsidR="001C3CA1" w:rsidRPr="00051667">
        <w:rPr>
          <w:rFonts w:ascii="Times New Roman" w:hAnsi="Times New Roman" w:cs="Times New Roman"/>
          <w:noProof/>
        </w:rPr>
        <w:t>Për Tregjet e Kripto-Aseteve</w:t>
      </w:r>
      <w:r w:rsidRPr="00051667">
        <w:rPr>
          <w:rFonts w:ascii="Times New Roman" w:hAnsi="Times New Roman" w:cs="Times New Roman"/>
          <w:noProof/>
        </w:rPr>
        <w:t>”</w:t>
      </w:r>
      <w:r w:rsidR="003F65F3" w:rsidRPr="00051667">
        <w:rPr>
          <w:rFonts w:ascii="Times New Roman" w:hAnsi="Times New Roman" w:cs="Times New Roman"/>
          <w:noProof/>
        </w:rPr>
        <w:t xml:space="preserve">, </w:t>
      </w:r>
      <w:r w:rsidR="008A04A4" w:rsidRPr="00051667">
        <w:rPr>
          <w:rFonts w:ascii="Times New Roman" w:hAnsi="Times New Roman" w:cs="Times New Roman"/>
          <w:noProof/>
        </w:rPr>
        <w:t xml:space="preserve">e njohur si MiCA, </w:t>
      </w:r>
      <w:r w:rsidR="003F65F3" w:rsidRPr="00051667">
        <w:rPr>
          <w:rFonts w:ascii="Times New Roman" w:hAnsi="Times New Roman" w:cs="Times New Roman"/>
          <w:noProof/>
        </w:rPr>
        <w:t>si</w:t>
      </w:r>
      <w:r w:rsidRPr="00051667">
        <w:rPr>
          <w:rFonts w:ascii="Times New Roman" w:hAnsi="Times New Roman" w:cs="Times New Roman"/>
          <w:noProof/>
        </w:rPr>
        <w:t xml:space="preserve"> dhe </w:t>
      </w:r>
      <w:r w:rsidR="003F65F3" w:rsidRPr="00051667">
        <w:rPr>
          <w:rFonts w:ascii="Times New Roman" w:hAnsi="Times New Roman" w:cs="Times New Roman"/>
          <w:noProof/>
        </w:rPr>
        <w:t>t</w:t>
      </w:r>
      <w:r w:rsidR="00FD18FB" w:rsidRPr="00051667">
        <w:rPr>
          <w:rFonts w:ascii="Times New Roman" w:hAnsi="Times New Roman" w:cs="Times New Roman"/>
          <w:noProof/>
        </w:rPr>
        <w:t>ë</w:t>
      </w:r>
      <w:r w:rsidR="003F65F3" w:rsidRPr="00051667">
        <w:rPr>
          <w:rFonts w:ascii="Times New Roman" w:hAnsi="Times New Roman" w:cs="Times New Roman"/>
          <w:noProof/>
        </w:rPr>
        <w:t xml:space="preserve"> harmonizohet </w:t>
      </w:r>
      <w:r w:rsidRPr="00051667">
        <w:rPr>
          <w:rFonts w:ascii="Times New Roman" w:hAnsi="Times New Roman" w:cs="Times New Roman"/>
          <w:noProof/>
        </w:rPr>
        <w:t xml:space="preserve">me </w:t>
      </w:r>
      <w:r w:rsidR="003F65F3" w:rsidRPr="00051667">
        <w:rPr>
          <w:rFonts w:ascii="Times New Roman" w:hAnsi="Times New Roman" w:cs="Times New Roman"/>
          <w:noProof/>
        </w:rPr>
        <w:t>korniz</w:t>
      </w:r>
      <w:r w:rsidR="00FD18FB" w:rsidRPr="00051667">
        <w:rPr>
          <w:rFonts w:ascii="Times New Roman" w:hAnsi="Times New Roman" w:cs="Times New Roman"/>
          <w:noProof/>
        </w:rPr>
        <w:t>ë</w:t>
      </w:r>
      <w:r w:rsidR="003F65F3" w:rsidRPr="00051667">
        <w:rPr>
          <w:rFonts w:ascii="Times New Roman" w:hAnsi="Times New Roman" w:cs="Times New Roman"/>
          <w:noProof/>
        </w:rPr>
        <w:t xml:space="preserve">n </w:t>
      </w:r>
      <w:r w:rsidRPr="00051667">
        <w:rPr>
          <w:rFonts w:ascii="Times New Roman" w:hAnsi="Times New Roman" w:cs="Times New Roman"/>
          <w:noProof/>
        </w:rPr>
        <w:t>ekzistuese për shërbimet e investimit</w:t>
      </w:r>
      <w:r w:rsidR="00050D8F" w:rsidRPr="00051667">
        <w:rPr>
          <w:rFonts w:ascii="Times New Roman" w:hAnsi="Times New Roman" w:cs="Times New Roman"/>
          <w:noProof/>
        </w:rPr>
        <w:t xml:space="preserve">, </w:t>
      </w:r>
      <w:r w:rsidRPr="00051667">
        <w:rPr>
          <w:rFonts w:ascii="Times New Roman" w:hAnsi="Times New Roman" w:cs="Times New Roman"/>
          <w:noProof/>
        </w:rPr>
        <w:t xml:space="preserve">pagesave dhe parasë elektronike, duke garantuar </w:t>
      </w:r>
      <w:r w:rsidR="00050D8F" w:rsidRPr="00051667">
        <w:rPr>
          <w:rFonts w:ascii="Times New Roman" w:hAnsi="Times New Roman" w:cs="Times New Roman"/>
          <w:noProof/>
        </w:rPr>
        <w:t xml:space="preserve">në këtë mënyrë </w:t>
      </w:r>
      <w:r w:rsidRPr="00051667">
        <w:rPr>
          <w:rFonts w:ascii="Times New Roman" w:hAnsi="Times New Roman" w:cs="Times New Roman"/>
          <w:noProof/>
        </w:rPr>
        <w:t>siguri juridike, koherencë rregullatore</w:t>
      </w:r>
      <w:r w:rsidR="00050D8F" w:rsidRPr="00051667">
        <w:rPr>
          <w:rFonts w:ascii="Times New Roman" w:hAnsi="Times New Roman" w:cs="Times New Roman"/>
          <w:noProof/>
        </w:rPr>
        <w:t>,</w:t>
      </w:r>
      <w:r w:rsidRPr="00051667">
        <w:rPr>
          <w:rFonts w:ascii="Times New Roman" w:hAnsi="Times New Roman" w:cs="Times New Roman"/>
          <w:noProof/>
        </w:rPr>
        <w:t xml:space="preserve"> standarde të larta të mbrojtjes së investitorëve</w:t>
      </w:r>
      <w:r w:rsidR="00050D8F" w:rsidRPr="00051667">
        <w:rPr>
          <w:rFonts w:ascii="Times New Roman" w:hAnsi="Times New Roman" w:cs="Times New Roman"/>
          <w:noProof/>
        </w:rPr>
        <w:t>, si dhe forcimin e kredibilitetit të vendit në raport me proceset e vlerësimit ndërkombëtar.</w:t>
      </w:r>
      <w:r w:rsidR="0087685E">
        <w:rPr>
          <w:rFonts w:ascii="Times New Roman" w:hAnsi="Times New Roman" w:cs="Times New Roman"/>
          <w:noProof/>
        </w:rPr>
        <w:t xml:space="preserve"> </w:t>
      </w:r>
      <w:r w:rsidR="00531017" w:rsidRPr="00051667">
        <w:rPr>
          <w:rFonts w:ascii="Times New Roman" w:hAnsi="Times New Roman" w:cs="Times New Roman"/>
          <w:noProof/>
        </w:rPr>
        <w:t>Rregullorja e BE “</w:t>
      </w:r>
      <w:r w:rsidR="003F6393" w:rsidRPr="00051667">
        <w:rPr>
          <w:rFonts w:ascii="Times New Roman" w:hAnsi="Times New Roman" w:cs="Times New Roman"/>
          <w:noProof/>
        </w:rPr>
        <w:t>Për Tregjet e Kripto-Aseteve</w:t>
      </w:r>
      <w:r w:rsidR="00531017" w:rsidRPr="00051667">
        <w:rPr>
          <w:rFonts w:ascii="Times New Roman" w:hAnsi="Times New Roman" w:cs="Times New Roman"/>
          <w:noProof/>
        </w:rPr>
        <w:t xml:space="preserve">” është një nga rregulloret më gjithëpërfshirëse të kripto-aseteve në rang global </w:t>
      </w:r>
      <w:r w:rsidR="00623DCF" w:rsidRPr="00051667">
        <w:rPr>
          <w:rFonts w:ascii="Times New Roman" w:hAnsi="Times New Roman" w:cs="Times New Roman"/>
          <w:noProof/>
        </w:rPr>
        <w:t xml:space="preserve">dhe </w:t>
      </w:r>
      <w:r w:rsidR="00531017" w:rsidRPr="00051667">
        <w:rPr>
          <w:rFonts w:ascii="Times New Roman" w:hAnsi="Times New Roman" w:cs="Times New Roman"/>
          <w:noProof/>
        </w:rPr>
        <w:t>syn</w:t>
      </w:r>
      <w:r w:rsidR="00623DCF" w:rsidRPr="00051667">
        <w:rPr>
          <w:rFonts w:ascii="Times New Roman" w:hAnsi="Times New Roman" w:cs="Times New Roman"/>
          <w:noProof/>
        </w:rPr>
        <w:t>on</w:t>
      </w:r>
      <w:r w:rsidR="00531017" w:rsidRPr="00051667">
        <w:rPr>
          <w:rFonts w:ascii="Times New Roman" w:hAnsi="Times New Roman" w:cs="Times New Roman"/>
          <w:noProof/>
        </w:rPr>
        <w:t xml:space="preserve"> të trajtojë çdo aspekt të këtij ekosistemi, që nuk mbulohet nga kuadri ekzistues ligjor evropian. </w:t>
      </w:r>
    </w:p>
    <w:p w14:paraId="044F2BC8" w14:textId="66306E6A" w:rsidR="00531017" w:rsidRPr="00051667" w:rsidRDefault="00531017" w:rsidP="00051667">
      <w:pPr>
        <w:spacing w:after="0" w:line="276" w:lineRule="auto"/>
        <w:jc w:val="both"/>
        <w:rPr>
          <w:rFonts w:ascii="Times New Roman" w:hAnsi="Times New Roman" w:cs="Times New Roman"/>
          <w:noProof/>
          <w:highlight w:val="yellow"/>
        </w:rPr>
      </w:pPr>
    </w:p>
    <w:p w14:paraId="78FE471B" w14:textId="6703AD2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Në muajin </w:t>
      </w:r>
      <w:r w:rsidR="00C020F7" w:rsidRPr="00051667">
        <w:rPr>
          <w:rFonts w:ascii="Times New Roman" w:hAnsi="Times New Roman" w:cs="Times New Roman"/>
          <w:noProof/>
        </w:rPr>
        <w:t>p</w:t>
      </w:r>
      <w:r w:rsidRPr="00051667">
        <w:rPr>
          <w:rFonts w:ascii="Times New Roman" w:hAnsi="Times New Roman" w:cs="Times New Roman"/>
          <w:noProof/>
        </w:rPr>
        <w:t xml:space="preserve">rill 2025, Shqipëria hapi zyrtarisht </w:t>
      </w:r>
      <w:r w:rsidR="000C24B8" w:rsidRPr="00051667">
        <w:rPr>
          <w:rFonts w:ascii="Times New Roman" w:hAnsi="Times New Roman" w:cs="Times New Roman"/>
          <w:noProof/>
        </w:rPr>
        <w:t xml:space="preserve">Grupkapitullin </w:t>
      </w:r>
      <w:r w:rsidRPr="00051667">
        <w:rPr>
          <w:rFonts w:ascii="Times New Roman" w:hAnsi="Times New Roman" w:cs="Times New Roman"/>
          <w:noProof/>
        </w:rPr>
        <w:t xml:space="preserve">2 “Tregu i Brendshëm”, një nga grupimet tematikë të kapitujve negociues në procesin e anëtarësimit në Bashkimin Evropian. Ky </w:t>
      </w:r>
      <w:r w:rsidR="000C24B8" w:rsidRPr="00051667">
        <w:rPr>
          <w:rFonts w:ascii="Times New Roman" w:hAnsi="Times New Roman" w:cs="Times New Roman"/>
          <w:noProof/>
        </w:rPr>
        <w:t xml:space="preserve">grupkapitull </w:t>
      </w:r>
      <w:r w:rsidRPr="00051667">
        <w:rPr>
          <w:rFonts w:ascii="Times New Roman" w:hAnsi="Times New Roman" w:cs="Times New Roman"/>
          <w:noProof/>
        </w:rPr>
        <w:t xml:space="preserve">përfshin një sërë kapitujsh që lidhen me funksionimin e tregut të brendshëm të BE-së, ndër të cilët edhe Kapitulli 9 – </w:t>
      </w:r>
      <w:r w:rsidR="007152F9" w:rsidRPr="00051667">
        <w:rPr>
          <w:rFonts w:ascii="Times New Roman" w:hAnsi="Times New Roman" w:cs="Times New Roman"/>
          <w:noProof/>
        </w:rPr>
        <w:t>“</w:t>
      </w:r>
      <w:r w:rsidRPr="00051667">
        <w:rPr>
          <w:rFonts w:ascii="Times New Roman" w:hAnsi="Times New Roman" w:cs="Times New Roman"/>
          <w:noProof/>
        </w:rPr>
        <w:t>Shërbimet Financiare</w:t>
      </w:r>
      <w:r w:rsidR="007152F9" w:rsidRPr="00051667">
        <w:rPr>
          <w:rFonts w:ascii="Times New Roman" w:hAnsi="Times New Roman" w:cs="Times New Roman"/>
          <w:noProof/>
        </w:rPr>
        <w:t>”</w:t>
      </w:r>
      <w:r w:rsidRPr="00051667">
        <w:rPr>
          <w:rFonts w:ascii="Times New Roman" w:hAnsi="Times New Roman" w:cs="Times New Roman"/>
          <w:noProof/>
        </w:rPr>
        <w:t xml:space="preserve">, ku Autoriteti i Mbikëqyrjes Financiare është institucioni </w:t>
      </w:r>
      <w:r w:rsidR="007152F9" w:rsidRPr="00051667">
        <w:rPr>
          <w:rFonts w:ascii="Times New Roman" w:hAnsi="Times New Roman" w:cs="Times New Roman"/>
          <w:noProof/>
        </w:rPr>
        <w:t xml:space="preserve">lider dhe </w:t>
      </w:r>
      <w:r w:rsidRPr="00051667">
        <w:rPr>
          <w:rFonts w:ascii="Times New Roman" w:hAnsi="Times New Roman" w:cs="Times New Roman"/>
          <w:noProof/>
        </w:rPr>
        <w:t>drejtues i negociatave. Ndër piketat mbyllëse (</w:t>
      </w:r>
      <w:r w:rsidRPr="00051667">
        <w:rPr>
          <w:rFonts w:ascii="Times New Roman" w:hAnsi="Times New Roman" w:cs="Times New Roman"/>
          <w:i/>
          <w:iCs/>
          <w:noProof/>
        </w:rPr>
        <w:t>closing benchmark</w:t>
      </w:r>
      <w:r w:rsidRPr="00051667">
        <w:rPr>
          <w:rFonts w:ascii="Times New Roman" w:hAnsi="Times New Roman" w:cs="Times New Roman"/>
          <w:noProof/>
        </w:rPr>
        <w:t xml:space="preserve">s) të këtij </w:t>
      </w:r>
      <w:r w:rsidR="002029CF" w:rsidRPr="00051667">
        <w:rPr>
          <w:rFonts w:ascii="Times New Roman" w:hAnsi="Times New Roman" w:cs="Times New Roman"/>
          <w:noProof/>
        </w:rPr>
        <w:t xml:space="preserve">grupkapitulli </w:t>
      </w:r>
      <w:r w:rsidRPr="00051667">
        <w:rPr>
          <w:rFonts w:ascii="Times New Roman" w:hAnsi="Times New Roman" w:cs="Times New Roman"/>
          <w:noProof/>
        </w:rPr>
        <w:t>parashikohet edhe përafrimi me kuadrin rregullator evropian në fushën e financave digjitale, duke përfshirë rregullim</w:t>
      </w:r>
      <w:r w:rsidR="001F3E23" w:rsidRPr="00051667">
        <w:rPr>
          <w:rFonts w:ascii="Times New Roman" w:hAnsi="Times New Roman" w:cs="Times New Roman"/>
          <w:noProof/>
        </w:rPr>
        <w:t xml:space="preserve"> t</w:t>
      </w:r>
      <w:r w:rsidR="00C020F7" w:rsidRPr="00051667">
        <w:rPr>
          <w:rFonts w:ascii="Times New Roman" w:hAnsi="Times New Roman" w:cs="Times New Roman"/>
          <w:noProof/>
        </w:rPr>
        <w:t>ë</w:t>
      </w:r>
      <w:r w:rsidRPr="00051667">
        <w:rPr>
          <w:rFonts w:ascii="Times New Roman" w:hAnsi="Times New Roman" w:cs="Times New Roman"/>
          <w:noProof/>
        </w:rPr>
        <w:t xml:space="preserve"> ligj</w:t>
      </w:r>
      <w:r w:rsidR="001F3E23" w:rsidRPr="00051667">
        <w:rPr>
          <w:rFonts w:ascii="Times New Roman" w:hAnsi="Times New Roman" w:cs="Times New Roman"/>
          <w:noProof/>
        </w:rPr>
        <w:t>i</w:t>
      </w:r>
      <w:r w:rsidRPr="00051667">
        <w:rPr>
          <w:rFonts w:ascii="Times New Roman" w:hAnsi="Times New Roman" w:cs="Times New Roman"/>
          <w:noProof/>
        </w:rPr>
        <w:t>t të kripto-aseteve. Kjo i jep një rëndësi të shtuar procesit të transpozimit të Rregullores (BE) 2023/1114 “Për Tregjet e Kripto-Aseteve” në legjislacionin shqiptar, si një parakusht për përmbushjen e detyrimeve në kuadër të procesit të anëtarësimit.</w:t>
      </w:r>
    </w:p>
    <w:p w14:paraId="3AC2D8BB" w14:textId="77777777" w:rsidR="00AE5D7C" w:rsidRPr="00051667" w:rsidRDefault="00AE5D7C" w:rsidP="00051667">
      <w:pPr>
        <w:spacing w:after="0" w:line="276" w:lineRule="auto"/>
        <w:jc w:val="both"/>
        <w:rPr>
          <w:rFonts w:ascii="Times New Roman" w:hAnsi="Times New Roman" w:cs="Times New Roman"/>
          <w:noProof/>
        </w:rPr>
      </w:pPr>
    </w:p>
    <w:p w14:paraId="26C8AB19" w14:textId="306200B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Objektivi strategjik i autoriteteve shqiptare është që me anëtarësimin në Bashkimin Evropian, legjislacioni vendas të përputhet plotësisht me acquis-in e BE-së, duke përfshirë dispozitat e plota të Rregullores MiCA. Në këtë kontekst, Shqipëria synon të ndërtojë një kuadër të harmonizuar që </w:t>
      </w:r>
      <w:r w:rsidRPr="00051667">
        <w:rPr>
          <w:rFonts w:ascii="Times New Roman" w:hAnsi="Times New Roman" w:cs="Times New Roman"/>
          <w:noProof/>
        </w:rPr>
        <w:lastRenderedPageBreak/>
        <w:t>do t’i mundësojë ofruesve vendas të shërbimeve të kripto-aseteve të operojnë në tregun e përbashkët evropian në përputhje me standardet më të larta të mbikëqyrjes dhe transparencës.</w:t>
      </w:r>
    </w:p>
    <w:p w14:paraId="71E00B57" w14:textId="77777777" w:rsidR="00AE5D7C" w:rsidRPr="00051667" w:rsidRDefault="00AE5D7C" w:rsidP="00051667">
      <w:pPr>
        <w:spacing w:after="0" w:line="276" w:lineRule="auto"/>
        <w:jc w:val="both"/>
        <w:rPr>
          <w:rFonts w:ascii="Times New Roman" w:hAnsi="Times New Roman" w:cs="Times New Roman"/>
          <w:noProof/>
        </w:rPr>
      </w:pPr>
    </w:p>
    <w:p w14:paraId="45ED8418" w14:textId="77777777" w:rsidR="00117F0E" w:rsidRPr="00051667" w:rsidRDefault="004C5897"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P</w:t>
      </w:r>
      <w:r w:rsidR="006B1FDD" w:rsidRPr="00051667">
        <w:rPr>
          <w:rFonts w:ascii="Times New Roman" w:hAnsi="Times New Roman" w:cs="Times New Roman"/>
          <w:noProof/>
        </w:rPr>
        <w:t>rojektligj</w:t>
      </w:r>
      <w:r w:rsidRPr="00051667">
        <w:rPr>
          <w:rFonts w:ascii="Times New Roman" w:hAnsi="Times New Roman" w:cs="Times New Roman"/>
          <w:noProof/>
        </w:rPr>
        <w:t>i</w:t>
      </w:r>
      <w:r w:rsidR="006B1FDD" w:rsidRPr="00051667">
        <w:rPr>
          <w:rFonts w:ascii="Times New Roman" w:hAnsi="Times New Roman" w:cs="Times New Roman"/>
          <w:noProof/>
        </w:rPr>
        <w:t xml:space="preserve"> </w:t>
      </w:r>
      <w:r w:rsidR="00880401" w:rsidRPr="00051667">
        <w:rPr>
          <w:rFonts w:ascii="Times New Roman" w:hAnsi="Times New Roman" w:cs="Times New Roman"/>
          <w:noProof/>
        </w:rPr>
        <w:t>ka si q</w:t>
      </w:r>
      <w:r w:rsidR="00FD18FB" w:rsidRPr="00051667">
        <w:rPr>
          <w:rFonts w:ascii="Times New Roman" w:hAnsi="Times New Roman" w:cs="Times New Roman"/>
          <w:noProof/>
        </w:rPr>
        <w:t>ë</w:t>
      </w:r>
      <w:r w:rsidR="00880401" w:rsidRPr="00051667">
        <w:rPr>
          <w:rFonts w:ascii="Times New Roman" w:hAnsi="Times New Roman" w:cs="Times New Roman"/>
          <w:noProof/>
        </w:rPr>
        <w:t>llim t</w:t>
      </w:r>
      <w:r w:rsidR="00FD18FB" w:rsidRPr="00051667">
        <w:rPr>
          <w:rFonts w:ascii="Times New Roman" w:hAnsi="Times New Roman" w:cs="Times New Roman"/>
          <w:noProof/>
        </w:rPr>
        <w:t>ë</w:t>
      </w:r>
      <w:r w:rsidR="00880401" w:rsidRPr="00051667">
        <w:rPr>
          <w:rFonts w:ascii="Times New Roman" w:hAnsi="Times New Roman" w:cs="Times New Roman"/>
          <w:noProof/>
        </w:rPr>
        <w:t xml:space="preserve"> rregulloj</w:t>
      </w:r>
      <w:r w:rsidR="00FD18FB" w:rsidRPr="00051667">
        <w:rPr>
          <w:rFonts w:ascii="Times New Roman" w:hAnsi="Times New Roman" w:cs="Times New Roman"/>
          <w:noProof/>
        </w:rPr>
        <w:t>ë</w:t>
      </w:r>
      <w:r w:rsidR="00880401" w:rsidRPr="00051667">
        <w:rPr>
          <w:rFonts w:ascii="Times New Roman" w:hAnsi="Times New Roman" w:cs="Times New Roman"/>
          <w:noProof/>
        </w:rPr>
        <w:t xml:space="preserve"> </w:t>
      </w:r>
      <w:r w:rsidRPr="00051667">
        <w:rPr>
          <w:rFonts w:ascii="Times New Roman" w:hAnsi="Times New Roman" w:cs="Times New Roman"/>
          <w:noProof/>
        </w:rPr>
        <w:t>subjektet dhe veprimtarit</w:t>
      </w:r>
      <w:r w:rsidR="00FD18FB" w:rsidRPr="00051667">
        <w:rPr>
          <w:rFonts w:ascii="Times New Roman" w:hAnsi="Times New Roman" w:cs="Times New Roman"/>
          <w:noProof/>
        </w:rPr>
        <w:t>ë</w:t>
      </w:r>
      <w:r w:rsidRPr="00051667">
        <w:rPr>
          <w:rFonts w:ascii="Times New Roman" w:hAnsi="Times New Roman" w:cs="Times New Roman"/>
          <w:noProof/>
        </w:rPr>
        <w:t xml:space="preserve"> q</w:t>
      </w:r>
      <w:r w:rsidR="00FD18FB" w:rsidRPr="00051667">
        <w:rPr>
          <w:rFonts w:ascii="Times New Roman" w:hAnsi="Times New Roman" w:cs="Times New Roman"/>
          <w:noProof/>
        </w:rPr>
        <w:t>ë</w:t>
      </w:r>
      <w:r w:rsidRPr="00051667">
        <w:rPr>
          <w:rFonts w:ascii="Times New Roman" w:hAnsi="Times New Roman" w:cs="Times New Roman"/>
          <w:noProof/>
        </w:rPr>
        <w:t xml:space="preserve"> lidhen me</w:t>
      </w:r>
      <w:r w:rsidR="006B1FDD" w:rsidRPr="00051667">
        <w:rPr>
          <w:rFonts w:ascii="Times New Roman" w:hAnsi="Times New Roman" w:cs="Times New Roman"/>
          <w:noProof/>
        </w:rPr>
        <w:t xml:space="preserve"> emetimi</w:t>
      </w:r>
      <w:r w:rsidRPr="00051667">
        <w:rPr>
          <w:rFonts w:ascii="Times New Roman" w:hAnsi="Times New Roman" w:cs="Times New Roman"/>
          <w:noProof/>
        </w:rPr>
        <w:t>n</w:t>
      </w:r>
      <w:r w:rsidR="006B1FDD" w:rsidRPr="00051667">
        <w:rPr>
          <w:rFonts w:ascii="Times New Roman" w:hAnsi="Times New Roman" w:cs="Times New Roman"/>
          <w:noProof/>
        </w:rPr>
        <w:t xml:space="preserve"> </w:t>
      </w:r>
      <w:r w:rsidRPr="00051667">
        <w:rPr>
          <w:rFonts w:ascii="Times New Roman" w:hAnsi="Times New Roman" w:cs="Times New Roman"/>
          <w:noProof/>
        </w:rPr>
        <w:t xml:space="preserve">e </w:t>
      </w:r>
      <w:r w:rsidR="006B1FDD" w:rsidRPr="00051667">
        <w:rPr>
          <w:rFonts w:ascii="Times New Roman" w:hAnsi="Times New Roman" w:cs="Times New Roman"/>
          <w:noProof/>
        </w:rPr>
        <w:t>kripto-aseteve dhe tokenave të parasë elektronike si dhe veprimtaritë e ndërmjetësimit të kripto-aseteve të tilla si operimi i një platforme tregtie, këmbimi, kujdestaria, marrja dhe transmetimi</w:t>
      </w:r>
      <w:r w:rsidR="00C020F7" w:rsidRPr="00051667">
        <w:rPr>
          <w:rFonts w:ascii="Times New Roman" w:hAnsi="Times New Roman" w:cs="Times New Roman"/>
          <w:noProof/>
        </w:rPr>
        <w:t xml:space="preserve"> i</w:t>
      </w:r>
      <w:r w:rsidR="006B1FDD" w:rsidRPr="00051667">
        <w:rPr>
          <w:rFonts w:ascii="Times New Roman" w:hAnsi="Times New Roman" w:cs="Times New Roman"/>
          <w:noProof/>
        </w:rPr>
        <w:t xml:space="preserve"> urdhrave, ekzekutimi i urdhrave, </w:t>
      </w:r>
      <w:r w:rsidR="00DE66BE" w:rsidRPr="00051667">
        <w:rPr>
          <w:rFonts w:ascii="Times New Roman" w:hAnsi="Times New Roman" w:cs="Times New Roman"/>
          <w:noProof/>
        </w:rPr>
        <w:t>hedhja në treg</w:t>
      </w:r>
      <w:r w:rsidR="006B1FDD" w:rsidRPr="00051667">
        <w:rPr>
          <w:rFonts w:ascii="Times New Roman" w:hAnsi="Times New Roman" w:cs="Times New Roman"/>
          <w:noProof/>
        </w:rPr>
        <w:t>, transferta,</w:t>
      </w:r>
      <w:r w:rsidR="00DE66BE" w:rsidRPr="00051667">
        <w:rPr>
          <w:rFonts w:ascii="Times New Roman" w:hAnsi="Times New Roman" w:cs="Times New Roman"/>
          <w:noProof/>
        </w:rPr>
        <w:t xml:space="preserve"> këshillimi</w:t>
      </w:r>
      <w:r w:rsidR="006B1FDD" w:rsidRPr="00051667">
        <w:rPr>
          <w:rFonts w:ascii="Times New Roman" w:hAnsi="Times New Roman" w:cs="Times New Roman"/>
          <w:noProof/>
        </w:rPr>
        <w:t xml:space="preserve"> dhe administrimi i një portofoli kripto-asetesh. </w:t>
      </w:r>
    </w:p>
    <w:p w14:paraId="7A5D0ED8" w14:textId="77777777" w:rsidR="0087685E" w:rsidRDefault="0087685E" w:rsidP="00051667">
      <w:pPr>
        <w:spacing w:after="0" w:line="276" w:lineRule="auto"/>
        <w:jc w:val="both"/>
        <w:rPr>
          <w:rFonts w:ascii="Times New Roman" w:hAnsi="Times New Roman" w:cs="Times New Roman"/>
          <w:noProof/>
        </w:rPr>
      </w:pPr>
    </w:p>
    <w:p w14:paraId="7B58A749" w14:textId="131727C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Kërkesat rregullatore ndaj këtyre subjekteve përfshijnë mbajtjen e një kapitali minimal, kërkesa mbi qeverisjen e korporatave, konfliktin e interesit, sigurinë kibernetike dhe operacionale, masa për mbrojtjen e konsumatorit dhe parandalimin e abuzimit me tregun, si dhe zbatimin e politikave për parandalimin e pastrimit të parave.</w:t>
      </w:r>
      <w:r w:rsidR="00323021" w:rsidRPr="00051667">
        <w:rPr>
          <w:rFonts w:ascii="Times New Roman" w:hAnsi="Times New Roman" w:cs="Times New Roman"/>
          <w:noProof/>
        </w:rPr>
        <w:t xml:space="preserve"> </w:t>
      </w:r>
      <w:r w:rsidR="004C5897" w:rsidRPr="00051667">
        <w:rPr>
          <w:rFonts w:ascii="Times New Roman" w:hAnsi="Times New Roman" w:cs="Times New Roman"/>
          <w:noProof/>
        </w:rPr>
        <w:t>K</w:t>
      </w:r>
      <w:r w:rsidR="00323021" w:rsidRPr="00051667">
        <w:rPr>
          <w:rFonts w:ascii="Times New Roman" w:hAnsi="Times New Roman" w:cs="Times New Roman"/>
          <w:noProof/>
        </w:rPr>
        <w:t>uadri rregullator për kripto-asetet është i përafërt me atë të</w:t>
      </w:r>
      <w:r w:rsidR="00C020F7" w:rsidRPr="00051667">
        <w:rPr>
          <w:rFonts w:ascii="Times New Roman" w:hAnsi="Times New Roman" w:cs="Times New Roman"/>
          <w:noProof/>
        </w:rPr>
        <w:t xml:space="preserve"> </w:t>
      </w:r>
      <w:r w:rsidR="00C020F7" w:rsidRPr="00051667">
        <w:rPr>
          <w:rFonts w:ascii="Times New Roman" w:hAnsi="Times New Roman" w:cs="Times New Roman"/>
        </w:rPr>
        <w:t>Direktivës 2014/65/EU “</w:t>
      </w:r>
      <w:proofErr w:type="spellStart"/>
      <w:r w:rsidR="00C020F7" w:rsidRPr="00051667">
        <w:rPr>
          <w:rFonts w:ascii="Times New Roman" w:hAnsi="Times New Roman" w:cs="Times New Roman"/>
        </w:rPr>
        <w:t>Markets</w:t>
      </w:r>
      <w:proofErr w:type="spellEnd"/>
      <w:r w:rsidR="00C020F7" w:rsidRPr="00051667">
        <w:rPr>
          <w:rFonts w:ascii="Times New Roman" w:hAnsi="Times New Roman" w:cs="Times New Roman"/>
        </w:rPr>
        <w:t xml:space="preserve"> in </w:t>
      </w:r>
      <w:proofErr w:type="spellStart"/>
      <w:r w:rsidR="00C020F7" w:rsidRPr="00051667">
        <w:rPr>
          <w:rFonts w:ascii="Times New Roman" w:hAnsi="Times New Roman" w:cs="Times New Roman"/>
        </w:rPr>
        <w:t>Financial</w:t>
      </w:r>
      <w:proofErr w:type="spellEnd"/>
      <w:r w:rsidR="00C020F7" w:rsidRPr="00051667">
        <w:rPr>
          <w:rFonts w:ascii="Times New Roman" w:hAnsi="Times New Roman" w:cs="Times New Roman"/>
        </w:rPr>
        <w:t xml:space="preserve"> </w:t>
      </w:r>
      <w:proofErr w:type="spellStart"/>
      <w:r w:rsidR="00C020F7" w:rsidRPr="00051667">
        <w:rPr>
          <w:rFonts w:ascii="Times New Roman" w:hAnsi="Times New Roman" w:cs="Times New Roman"/>
        </w:rPr>
        <w:t>Instruments</w:t>
      </w:r>
      <w:proofErr w:type="spellEnd"/>
      <w:r w:rsidR="00C020F7" w:rsidRPr="00051667">
        <w:rPr>
          <w:rFonts w:ascii="Times New Roman" w:hAnsi="Times New Roman" w:cs="Times New Roman"/>
        </w:rPr>
        <w:t>” (MIFID II) dhe Direktivës 2009/110/EC</w:t>
      </w:r>
      <w:r w:rsidR="00B1352B" w:rsidRPr="00051667">
        <w:rPr>
          <w:rFonts w:ascii="Times New Roman" w:hAnsi="Times New Roman" w:cs="Times New Roman"/>
          <w:b/>
          <w:bCs/>
          <w:color w:val="333333"/>
          <w:shd w:val="clear" w:color="auto" w:fill="FFFFFF"/>
        </w:rPr>
        <w:t xml:space="preserve"> </w:t>
      </w:r>
      <w:r w:rsidR="00B1352B" w:rsidRPr="00051667">
        <w:rPr>
          <w:rFonts w:ascii="Times New Roman" w:hAnsi="Times New Roman" w:cs="Times New Roman"/>
          <w:color w:val="333333"/>
          <w:shd w:val="clear" w:color="auto" w:fill="FFFFFF"/>
        </w:rPr>
        <w:t>“</w:t>
      </w:r>
      <w:proofErr w:type="spellStart"/>
      <w:r w:rsidR="00B1352B" w:rsidRPr="00051667">
        <w:rPr>
          <w:rFonts w:ascii="Times New Roman" w:hAnsi="Times New Roman" w:cs="Times New Roman"/>
          <w:color w:val="333333"/>
          <w:shd w:val="clear" w:color="auto" w:fill="FFFFFF"/>
        </w:rPr>
        <w:t>O</w:t>
      </w:r>
      <w:r w:rsidR="00B1352B" w:rsidRPr="00051667">
        <w:rPr>
          <w:rFonts w:ascii="Times New Roman" w:hAnsi="Times New Roman" w:cs="Times New Roman"/>
        </w:rPr>
        <w:t>n</w:t>
      </w:r>
      <w:proofErr w:type="spellEnd"/>
      <w:r w:rsidR="00B1352B" w:rsidRPr="00051667">
        <w:rPr>
          <w:rFonts w:ascii="Times New Roman" w:hAnsi="Times New Roman" w:cs="Times New Roman"/>
        </w:rPr>
        <w:t xml:space="preserve"> the </w:t>
      </w:r>
      <w:proofErr w:type="spellStart"/>
      <w:r w:rsidR="00B1352B" w:rsidRPr="00051667">
        <w:rPr>
          <w:rFonts w:ascii="Times New Roman" w:hAnsi="Times New Roman" w:cs="Times New Roman"/>
        </w:rPr>
        <w:t>taking</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up</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pursuit</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and</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prudential</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supervision</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of</w:t>
      </w:r>
      <w:proofErr w:type="spellEnd"/>
      <w:r w:rsidR="00B1352B" w:rsidRPr="00051667">
        <w:rPr>
          <w:rFonts w:ascii="Times New Roman" w:hAnsi="Times New Roman" w:cs="Times New Roman"/>
        </w:rPr>
        <w:t xml:space="preserve"> the </w:t>
      </w:r>
      <w:proofErr w:type="spellStart"/>
      <w:r w:rsidR="00B1352B" w:rsidRPr="00051667">
        <w:rPr>
          <w:rFonts w:ascii="Times New Roman" w:hAnsi="Times New Roman" w:cs="Times New Roman"/>
        </w:rPr>
        <w:t>business</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of</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electronic</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money</w:t>
      </w:r>
      <w:proofErr w:type="spellEnd"/>
      <w:r w:rsidR="00B1352B" w:rsidRPr="00051667">
        <w:rPr>
          <w:rFonts w:ascii="Times New Roman" w:hAnsi="Times New Roman" w:cs="Times New Roman"/>
        </w:rPr>
        <w:t xml:space="preserve"> </w:t>
      </w:r>
      <w:proofErr w:type="spellStart"/>
      <w:r w:rsidR="00B1352B" w:rsidRPr="00051667">
        <w:rPr>
          <w:rFonts w:ascii="Times New Roman" w:hAnsi="Times New Roman" w:cs="Times New Roman"/>
        </w:rPr>
        <w:t>institutions</w:t>
      </w:r>
      <w:proofErr w:type="spellEnd"/>
      <w:r w:rsidR="00B1352B" w:rsidRPr="00051667">
        <w:rPr>
          <w:rFonts w:ascii="Times New Roman" w:hAnsi="Times New Roman" w:cs="Times New Roman"/>
        </w:rPr>
        <w:t>”</w:t>
      </w:r>
      <w:r w:rsidR="00C020F7" w:rsidRPr="00051667">
        <w:rPr>
          <w:rFonts w:ascii="Times New Roman" w:hAnsi="Times New Roman" w:cs="Times New Roman"/>
        </w:rPr>
        <w:t xml:space="preserve"> (EMD2),</w:t>
      </w:r>
      <w:r w:rsidR="00323021" w:rsidRPr="00051667">
        <w:rPr>
          <w:rFonts w:ascii="Times New Roman" w:hAnsi="Times New Roman" w:cs="Times New Roman"/>
          <w:noProof/>
        </w:rPr>
        <w:t xml:space="preserve"> dhe u parashtron emetuesve dhe ofruesve të shërbimeve të lidhura me kripto-asetet të njëjtat kërkesa rregullatore sikurse emetuesve ose ofruesve të shërbimeve të lidhura me instrumente financiarë dhe para elektronike.</w:t>
      </w:r>
    </w:p>
    <w:p w14:paraId="008AC5EF" w14:textId="77777777" w:rsidR="00C020F7" w:rsidRPr="00051667" w:rsidRDefault="00C020F7" w:rsidP="00051667">
      <w:pPr>
        <w:spacing w:after="0" w:line="276" w:lineRule="auto"/>
        <w:jc w:val="both"/>
        <w:rPr>
          <w:rFonts w:ascii="Times New Roman" w:hAnsi="Times New Roman" w:cs="Times New Roman"/>
          <w:noProof/>
        </w:rPr>
      </w:pPr>
    </w:p>
    <w:p w14:paraId="2E8A1C01" w14:textId="56E25375"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Në të njëjtën kohë, projektligji synon garantimin e standardeve më të larta të mbrojtjes së investitorëve dhe integritetit të tregut, përmes kërkesave prudenciale, rregullave dhe politikave të qeverisjes korporative, menaxhimit të konfliktit të interesit, masave të sigurisë kibernetike dhe operacionale, transparencës së dokumentit informues (</w:t>
      </w:r>
      <w:r w:rsidR="00F605B9">
        <w:rPr>
          <w:rFonts w:ascii="Times New Roman" w:hAnsi="Times New Roman" w:cs="Times New Roman"/>
          <w:i/>
          <w:iCs/>
          <w:noProof/>
        </w:rPr>
        <w:t>ë</w:t>
      </w:r>
      <w:r w:rsidRPr="00051667">
        <w:rPr>
          <w:rFonts w:ascii="Times New Roman" w:hAnsi="Times New Roman" w:cs="Times New Roman"/>
          <w:i/>
          <w:iCs/>
          <w:noProof/>
        </w:rPr>
        <w:t>hitepaper</w:t>
      </w:r>
      <w:r w:rsidRPr="00051667">
        <w:rPr>
          <w:rFonts w:ascii="Times New Roman" w:hAnsi="Times New Roman" w:cs="Times New Roman"/>
          <w:noProof/>
        </w:rPr>
        <w:t xml:space="preserve">), rregullave të marketingut, si dhe mekanizmave kundër abuzimit me tregun dhe në përputhje me politikat e parandalimit të pastrimit të parave. Zbatimi </w:t>
      </w:r>
      <w:r w:rsidR="00547762" w:rsidRPr="00051667">
        <w:rPr>
          <w:rFonts w:ascii="Times New Roman" w:hAnsi="Times New Roman" w:cs="Times New Roman"/>
          <w:noProof/>
        </w:rPr>
        <w:t>dhe mbik</w:t>
      </w:r>
      <w:r w:rsidR="00FD18FB" w:rsidRPr="00051667">
        <w:rPr>
          <w:rFonts w:ascii="Times New Roman" w:hAnsi="Times New Roman" w:cs="Times New Roman"/>
          <w:noProof/>
        </w:rPr>
        <w:t>ë</w:t>
      </w:r>
      <w:r w:rsidR="00547762" w:rsidRPr="00051667">
        <w:rPr>
          <w:rFonts w:ascii="Times New Roman" w:hAnsi="Times New Roman" w:cs="Times New Roman"/>
          <w:noProof/>
        </w:rPr>
        <w:t xml:space="preserve">qyrja e </w:t>
      </w:r>
      <w:r w:rsidRPr="00051667">
        <w:rPr>
          <w:rFonts w:ascii="Times New Roman" w:hAnsi="Times New Roman" w:cs="Times New Roman"/>
          <w:noProof/>
        </w:rPr>
        <w:t>këtyre standardeve</w:t>
      </w:r>
      <w:r w:rsidR="00547762" w:rsidRPr="00051667">
        <w:rPr>
          <w:rFonts w:ascii="Times New Roman" w:hAnsi="Times New Roman" w:cs="Times New Roman"/>
          <w:noProof/>
        </w:rPr>
        <w:t>, sipas projek</w:t>
      </w:r>
      <w:r w:rsidR="00781B81" w:rsidRPr="00051667">
        <w:rPr>
          <w:rFonts w:ascii="Times New Roman" w:hAnsi="Times New Roman" w:cs="Times New Roman"/>
          <w:noProof/>
        </w:rPr>
        <w:t>t</w:t>
      </w:r>
      <w:r w:rsidR="00547762" w:rsidRPr="00051667">
        <w:rPr>
          <w:rFonts w:ascii="Times New Roman" w:hAnsi="Times New Roman" w:cs="Times New Roman"/>
          <w:noProof/>
        </w:rPr>
        <w:t xml:space="preserve">ligi </w:t>
      </w:r>
      <w:r w:rsidR="00FD18FB" w:rsidRPr="00051667">
        <w:rPr>
          <w:rFonts w:ascii="Times New Roman" w:hAnsi="Times New Roman" w:cs="Times New Roman"/>
          <w:noProof/>
        </w:rPr>
        <w:t>ë</w:t>
      </w:r>
      <w:r w:rsidR="00547762" w:rsidRPr="00051667">
        <w:rPr>
          <w:rFonts w:ascii="Times New Roman" w:hAnsi="Times New Roman" w:cs="Times New Roman"/>
          <w:noProof/>
        </w:rPr>
        <w:t>sht</w:t>
      </w:r>
      <w:r w:rsidR="00FD18FB" w:rsidRPr="00051667">
        <w:rPr>
          <w:rFonts w:ascii="Times New Roman" w:hAnsi="Times New Roman" w:cs="Times New Roman"/>
          <w:noProof/>
        </w:rPr>
        <w:t>ë</w:t>
      </w:r>
      <w:r w:rsidR="00547762" w:rsidRPr="00051667">
        <w:rPr>
          <w:rFonts w:ascii="Times New Roman" w:hAnsi="Times New Roman" w:cs="Times New Roman"/>
          <w:noProof/>
        </w:rPr>
        <w:t xml:space="preserve"> parashikuar</w:t>
      </w:r>
      <w:r w:rsidR="00D13D14" w:rsidRPr="00051667">
        <w:rPr>
          <w:rFonts w:ascii="Times New Roman" w:hAnsi="Times New Roman" w:cs="Times New Roman"/>
          <w:noProof/>
        </w:rPr>
        <w:t xml:space="preserve"> t</w:t>
      </w:r>
      <w:r w:rsidR="00FD18FB" w:rsidRPr="00051667">
        <w:rPr>
          <w:rFonts w:ascii="Times New Roman" w:hAnsi="Times New Roman" w:cs="Times New Roman"/>
          <w:noProof/>
        </w:rPr>
        <w:t>ë</w:t>
      </w:r>
      <w:r w:rsidR="00D13D14" w:rsidRPr="00051667">
        <w:rPr>
          <w:rFonts w:ascii="Times New Roman" w:hAnsi="Times New Roman" w:cs="Times New Roman"/>
          <w:noProof/>
        </w:rPr>
        <w:t xml:space="preserve"> kryhet</w:t>
      </w:r>
      <w:r w:rsidR="001E588A" w:rsidRPr="00051667">
        <w:rPr>
          <w:rFonts w:ascii="Times New Roman" w:hAnsi="Times New Roman" w:cs="Times New Roman"/>
          <w:noProof/>
        </w:rPr>
        <w:t xml:space="preserve">, </w:t>
      </w:r>
      <w:r w:rsidR="00D13D14" w:rsidRPr="00051667">
        <w:rPr>
          <w:rFonts w:ascii="Times New Roman" w:hAnsi="Times New Roman" w:cs="Times New Roman"/>
          <w:noProof/>
        </w:rPr>
        <w:t>sipas fush</w:t>
      </w:r>
      <w:r w:rsidR="00FD18FB" w:rsidRPr="00051667">
        <w:rPr>
          <w:rFonts w:ascii="Times New Roman" w:hAnsi="Times New Roman" w:cs="Times New Roman"/>
          <w:noProof/>
        </w:rPr>
        <w:t>ë</w:t>
      </w:r>
      <w:r w:rsidR="00D13D14" w:rsidRPr="00051667">
        <w:rPr>
          <w:rFonts w:ascii="Times New Roman" w:hAnsi="Times New Roman" w:cs="Times New Roman"/>
          <w:noProof/>
        </w:rPr>
        <w:t>s s</w:t>
      </w:r>
      <w:r w:rsidR="00FD18FB" w:rsidRPr="00051667">
        <w:rPr>
          <w:rFonts w:ascii="Times New Roman" w:hAnsi="Times New Roman" w:cs="Times New Roman"/>
          <w:noProof/>
        </w:rPr>
        <w:t>ë</w:t>
      </w:r>
      <w:r w:rsidR="00D13D14" w:rsidRPr="00051667">
        <w:rPr>
          <w:rFonts w:ascii="Times New Roman" w:hAnsi="Times New Roman" w:cs="Times New Roman"/>
          <w:noProof/>
        </w:rPr>
        <w:t xml:space="preserve"> p</w:t>
      </w:r>
      <w:r w:rsidR="00FD18FB" w:rsidRPr="00051667">
        <w:rPr>
          <w:rFonts w:ascii="Times New Roman" w:hAnsi="Times New Roman" w:cs="Times New Roman"/>
          <w:noProof/>
        </w:rPr>
        <w:t>ë</w:t>
      </w:r>
      <w:r w:rsidR="00D13D14" w:rsidRPr="00051667">
        <w:rPr>
          <w:rFonts w:ascii="Times New Roman" w:hAnsi="Times New Roman" w:cs="Times New Roman"/>
          <w:noProof/>
        </w:rPr>
        <w:t>rgjegj</w:t>
      </w:r>
      <w:r w:rsidR="00FD18FB" w:rsidRPr="00051667">
        <w:rPr>
          <w:rFonts w:ascii="Times New Roman" w:hAnsi="Times New Roman" w:cs="Times New Roman"/>
          <w:noProof/>
        </w:rPr>
        <w:t>ë</w:t>
      </w:r>
      <w:r w:rsidR="00D13D14" w:rsidRPr="00051667">
        <w:rPr>
          <w:rFonts w:ascii="Times New Roman" w:hAnsi="Times New Roman" w:cs="Times New Roman"/>
          <w:noProof/>
        </w:rPr>
        <w:t>sis</w:t>
      </w:r>
      <w:r w:rsidR="00FD18FB" w:rsidRPr="00051667">
        <w:rPr>
          <w:rFonts w:ascii="Times New Roman" w:hAnsi="Times New Roman" w:cs="Times New Roman"/>
          <w:noProof/>
        </w:rPr>
        <w:t>ë</w:t>
      </w:r>
      <w:r w:rsidR="001E588A" w:rsidRPr="00051667">
        <w:rPr>
          <w:rFonts w:ascii="Times New Roman" w:hAnsi="Times New Roman" w:cs="Times New Roman"/>
          <w:noProof/>
        </w:rPr>
        <w:t xml:space="preserve">, </w:t>
      </w:r>
      <w:r w:rsidR="00D13D14" w:rsidRPr="00051667">
        <w:rPr>
          <w:rFonts w:ascii="Times New Roman" w:hAnsi="Times New Roman" w:cs="Times New Roman"/>
          <w:noProof/>
        </w:rPr>
        <w:t>nga</w:t>
      </w:r>
      <w:r w:rsidRPr="00051667">
        <w:rPr>
          <w:rFonts w:ascii="Times New Roman" w:hAnsi="Times New Roman" w:cs="Times New Roman"/>
          <w:noProof/>
        </w:rPr>
        <w:t xml:space="preserve"> A</w:t>
      </w:r>
      <w:r w:rsidR="001E588A" w:rsidRPr="00051667">
        <w:rPr>
          <w:rFonts w:ascii="Times New Roman" w:hAnsi="Times New Roman" w:cs="Times New Roman"/>
          <w:noProof/>
        </w:rPr>
        <w:t xml:space="preserve">utoriteti i </w:t>
      </w:r>
      <w:r w:rsidRPr="00051667">
        <w:rPr>
          <w:rFonts w:ascii="Times New Roman" w:hAnsi="Times New Roman" w:cs="Times New Roman"/>
          <w:noProof/>
        </w:rPr>
        <w:t>M</w:t>
      </w:r>
      <w:r w:rsidR="001E588A" w:rsidRPr="00051667">
        <w:rPr>
          <w:rFonts w:ascii="Times New Roman" w:hAnsi="Times New Roman" w:cs="Times New Roman"/>
          <w:noProof/>
        </w:rPr>
        <w:t>bik</w:t>
      </w:r>
      <w:r w:rsidR="00124914" w:rsidRPr="00051667">
        <w:rPr>
          <w:rFonts w:ascii="Times New Roman" w:hAnsi="Times New Roman" w:cs="Times New Roman"/>
          <w:noProof/>
        </w:rPr>
        <w:t>ë</w:t>
      </w:r>
      <w:r w:rsidR="001E588A" w:rsidRPr="00051667">
        <w:rPr>
          <w:rFonts w:ascii="Times New Roman" w:hAnsi="Times New Roman" w:cs="Times New Roman"/>
          <w:noProof/>
        </w:rPr>
        <w:t xml:space="preserve">qyrjes </w:t>
      </w:r>
      <w:r w:rsidRPr="00051667">
        <w:rPr>
          <w:rFonts w:ascii="Times New Roman" w:hAnsi="Times New Roman" w:cs="Times New Roman"/>
          <w:noProof/>
        </w:rPr>
        <w:t>F</w:t>
      </w:r>
      <w:r w:rsidR="001E588A" w:rsidRPr="00051667">
        <w:rPr>
          <w:rFonts w:ascii="Times New Roman" w:hAnsi="Times New Roman" w:cs="Times New Roman"/>
          <w:noProof/>
        </w:rPr>
        <w:t>inanciare</w:t>
      </w:r>
      <w:r w:rsidRPr="00051667">
        <w:rPr>
          <w:rFonts w:ascii="Times New Roman" w:hAnsi="Times New Roman" w:cs="Times New Roman"/>
          <w:noProof/>
        </w:rPr>
        <w:t xml:space="preserve"> dhe Banka e Shqipërisë</w:t>
      </w:r>
      <w:r w:rsidR="00AE5D7C" w:rsidRPr="00051667">
        <w:rPr>
          <w:rFonts w:ascii="Times New Roman" w:hAnsi="Times New Roman" w:cs="Times New Roman"/>
          <w:noProof/>
        </w:rPr>
        <w:t>,</w:t>
      </w:r>
      <w:r w:rsidR="00FF54E6" w:rsidRPr="00051667">
        <w:rPr>
          <w:rFonts w:ascii="Times New Roman" w:hAnsi="Times New Roman" w:cs="Times New Roman"/>
          <w:noProof/>
        </w:rPr>
        <w:t xml:space="preserve"> gj</w:t>
      </w:r>
      <w:r w:rsidR="00FD18FB" w:rsidRPr="00051667">
        <w:rPr>
          <w:rFonts w:ascii="Times New Roman" w:hAnsi="Times New Roman" w:cs="Times New Roman"/>
          <w:noProof/>
        </w:rPr>
        <w:t>ë</w:t>
      </w:r>
      <w:r w:rsidR="00FF54E6" w:rsidRPr="00051667">
        <w:rPr>
          <w:rFonts w:ascii="Times New Roman" w:hAnsi="Times New Roman" w:cs="Times New Roman"/>
          <w:noProof/>
        </w:rPr>
        <w:t xml:space="preserve"> q</w:t>
      </w:r>
      <w:r w:rsidR="00FD18FB" w:rsidRPr="00051667">
        <w:rPr>
          <w:rFonts w:ascii="Times New Roman" w:hAnsi="Times New Roman" w:cs="Times New Roman"/>
          <w:noProof/>
        </w:rPr>
        <w:t>ë</w:t>
      </w:r>
      <w:r w:rsidR="00FF54E6" w:rsidRPr="00051667">
        <w:rPr>
          <w:rFonts w:ascii="Times New Roman" w:hAnsi="Times New Roman" w:cs="Times New Roman"/>
          <w:noProof/>
        </w:rPr>
        <w:t xml:space="preserve"> </w:t>
      </w:r>
      <w:r w:rsidRPr="00051667">
        <w:rPr>
          <w:rFonts w:ascii="Times New Roman" w:hAnsi="Times New Roman" w:cs="Times New Roman"/>
          <w:noProof/>
        </w:rPr>
        <w:t xml:space="preserve">rrit besimin e konsumatorit dhe </w:t>
      </w:r>
      <w:r w:rsidR="00FF54E6" w:rsidRPr="00051667">
        <w:rPr>
          <w:rFonts w:ascii="Times New Roman" w:hAnsi="Times New Roman" w:cs="Times New Roman"/>
          <w:noProof/>
        </w:rPr>
        <w:t xml:space="preserve">garanton </w:t>
      </w:r>
      <w:r w:rsidRPr="00051667">
        <w:rPr>
          <w:rFonts w:ascii="Times New Roman" w:hAnsi="Times New Roman" w:cs="Times New Roman"/>
          <w:noProof/>
        </w:rPr>
        <w:t>stabilitetin e sistemit financiar.</w:t>
      </w:r>
    </w:p>
    <w:p w14:paraId="036122D7" w14:textId="77777777" w:rsidR="006B1FDD" w:rsidRPr="00051667" w:rsidRDefault="006B1FDD" w:rsidP="00051667">
      <w:pPr>
        <w:spacing w:after="0" w:line="276" w:lineRule="auto"/>
        <w:jc w:val="both"/>
        <w:rPr>
          <w:rFonts w:ascii="Times New Roman" w:hAnsi="Times New Roman" w:cs="Times New Roman"/>
          <w:noProof/>
        </w:rPr>
      </w:pPr>
    </w:p>
    <w:p w14:paraId="7C18C00F" w14:textId="6E04B0B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Së fundi, kuadri i propozuar përqafon teknologjitë e reja dhe krijon një mjedis mundësues për bizneset inovative shqiptare, duke u ofruar atyre rregulla të qarta, të qëndrueshme dhe të barabarta me ato të BE-së, me qëllim që ofruesit vendas të operojnë pa pengesa në tregun e përbashkët evropian</w:t>
      </w:r>
      <w:r w:rsidR="00DE66BE" w:rsidRPr="00051667">
        <w:rPr>
          <w:rFonts w:ascii="Times New Roman" w:hAnsi="Times New Roman" w:cs="Times New Roman"/>
          <w:noProof/>
        </w:rPr>
        <w:t xml:space="preserve">, duke synuar nxitjen e </w:t>
      </w:r>
      <w:r w:rsidRPr="00051667">
        <w:rPr>
          <w:rFonts w:ascii="Times New Roman" w:hAnsi="Times New Roman" w:cs="Times New Roman"/>
          <w:noProof/>
        </w:rPr>
        <w:t>konkurrueshmëri</w:t>
      </w:r>
      <w:r w:rsidR="00DE66BE" w:rsidRPr="00051667">
        <w:rPr>
          <w:rFonts w:ascii="Times New Roman" w:hAnsi="Times New Roman" w:cs="Times New Roman"/>
          <w:noProof/>
        </w:rPr>
        <w:t>s</w:t>
      </w:r>
      <w:r w:rsidRPr="00051667">
        <w:rPr>
          <w:rFonts w:ascii="Times New Roman" w:hAnsi="Times New Roman" w:cs="Times New Roman"/>
          <w:noProof/>
        </w:rPr>
        <w:t>ë, tërheq</w:t>
      </w:r>
      <w:r w:rsidR="00DE66BE" w:rsidRPr="00051667">
        <w:rPr>
          <w:rFonts w:ascii="Times New Roman" w:hAnsi="Times New Roman" w:cs="Times New Roman"/>
          <w:noProof/>
        </w:rPr>
        <w:t>jen</w:t>
      </w:r>
      <w:r w:rsidRPr="00051667">
        <w:rPr>
          <w:rFonts w:ascii="Times New Roman" w:hAnsi="Times New Roman" w:cs="Times New Roman"/>
          <w:noProof/>
        </w:rPr>
        <w:t xml:space="preserve"> </w:t>
      </w:r>
      <w:r w:rsidR="00DE66BE" w:rsidRPr="00051667">
        <w:rPr>
          <w:rFonts w:ascii="Times New Roman" w:hAnsi="Times New Roman" w:cs="Times New Roman"/>
          <w:noProof/>
        </w:rPr>
        <w:t xml:space="preserve">e </w:t>
      </w:r>
      <w:r w:rsidRPr="00051667">
        <w:rPr>
          <w:rFonts w:ascii="Times New Roman" w:hAnsi="Times New Roman" w:cs="Times New Roman"/>
          <w:noProof/>
        </w:rPr>
        <w:t>investime</w:t>
      </w:r>
      <w:r w:rsidR="00DE66BE" w:rsidRPr="00051667">
        <w:rPr>
          <w:rFonts w:ascii="Times New Roman" w:hAnsi="Times New Roman" w:cs="Times New Roman"/>
          <w:noProof/>
        </w:rPr>
        <w:t>ve</w:t>
      </w:r>
      <w:r w:rsidRPr="00051667">
        <w:rPr>
          <w:rFonts w:ascii="Times New Roman" w:hAnsi="Times New Roman" w:cs="Times New Roman"/>
          <w:noProof/>
        </w:rPr>
        <w:t xml:space="preserve"> cilësore dhe lehtës</w:t>
      </w:r>
      <w:r w:rsidR="00DE66BE" w:rsidRPr="00051667">
        <w:rPr>
          <w:rFonts w:ascii="Times New Roman" w:hAnsi="Times New Roman" w:cs="Times New Roman"/>
          <w:noProof/>
        </w:rPr>
        <w:t>imin e</w:t>
      </w:r>
      <w:r w:rsidRPr="00051667">
        <w:rPr>
          <w:rFonts w:ascii="Times New Roman" w:hAnsi="Times New Roman" w:cs="Times New Roman"/>
          <w:noProof/>
        </w:rPr>
        <w:t xml:space="preserve"> integrimi</w:t>
      </w:r>
      <w:r w:rsidR="00DE66BE" w:rsidRPr="00051667">
        <w:rPr>
          <w:rFonts w:ascii="Times New Roman" w:hAnsi="Times New Roman" w:cs="Times New Roman"/>
          <w:noProof/>
        </w:rPr>
        <w:t>t</w:t>
      </w:r>
      <w:r w:rsidRPr="00051667">
        <w:rPr>
          <w:rFonts w:ascii="Times New Roman" w:hAnsi="Times New Roman" w:cs="Times New Roman"/>
          <w:noProof/>
        </w:rPr>
        <w:t xml:space="preserve"> gradual të ekosistemit vendas të kripto-aseteve në zinxhirët evropianë të vlerës, duke mbajtur ekuilibrin midis mbrojtjes së konsumatorit dhe nxitjes së inovacionit.</w:t>
      </w:r>
    </w:p>
    <w:p w14:paraId="71C5CA88" w14:textId="77777777" w:rsidR="006B1FDD" w:rsidRDefault="006B1FDD" w:rsidP="00051667">
      <w:pPr>
        <w:spacing w:after="0" w:line="276" w:lineRule="auto"/>
        <w:jc w:val="both"/>
        <w:rPr>
          <w:rFonts w:ascii="Times New Roman" w:hAnsi="Times New Roman" w:cs="Times New Roman"/>
          <w:noProof/>
        </w:rPr>
      </w:pPr>
    </w:p>
    <w:p w14:paraId="6F7D945A" w14:textId="77777777" w:rsidR="00051667" w:rsidRPr="00051667" w:rsidRDefault="00051667" w:rsidP="00051667">
      <w:pPr>
        <w:spacing w:after="0" w:line="276" w:lineRule="auto"/>
        <w:jc w:val="both"/>
        <w:rPr>
          <w:rFonts w:ascii="Times New Roman" w:hAnsi="Times New Roman" w:cs="Times New Roman"/>
          <w:noProof/>
        </w:rPr>
      </w:pPr>
    </w:p>
    <w:p w14:paraId="76975D5A" w14:textId="407595E1" w:rsidR="006B1FDD" w:rsidRPr="00051667" w:rsidRDefault="006B1FDD" w:rsidP="00051667">
      <w:pPr>
        <w:pStyle w:val="ListParagraph"/>
        <w:numPr>
          <w:ilvl w:val="0"/>
          <w:numId w:val="3"/>
        </w:numPr>
        <w:spacing w:after="0" w:line="276" w:lineRule="auto"/>
        <w:jc w:val="both"/>
        <w:rPr>
          <w:rFonts w:ascii="Times New Roman" w:hAnsi="Times New Roman" w:cs="Times New Roman"/>
          <w:noProof/>
        </w:rPr>
      </w:pPr>
      <w:r w:rsidRPr="00051667">
        <w:rPr>
          <w:rFonts w:ascii="Times New Roman" w:hAnsi="Times New Roman" w:cs="Times New Roman"/>
          <w:b/>
          <w:bCs/>
          <w:noProof/>
        </w:rPr>
        <w:t>VLER</w:t>
      </w:r>
      <w:r w:rsidR="00665016" w:rsidRPr="00051667">
        <w:rPr>
          <w:rFonts w:ascii="Times New Roman" w:hAnsi="Times New Roman" w:cs="Times New Roman"/>
          <w:b/>
          <w:bCs/>
          <w:noProof/>
        </w:rPr>
        <w:t>Ë</w:t>
      </w:r>
      <w:r w:rsidRPr="00051667">
        <w:rPr>
          <w:rFonts w:ascii="Times New Roman" w:hAnsi="Times New Roman" w:cs="Times New Roman"/>
          <w:b/>
          <w:bCs/>
          <w:noProof/>
        </w:rPr>
        <w:t>SIMI I PROJEKT LIGJIT N</w:t>
      </w:r>
      <w:r w:rsidR="00665016" w:rsidRPr="00051667">
        <w:rPr>
          <w:rFonts w:ascii="Times New Roman" w:hAnsi="Times New Roman" w:cs="Times New Roman"/>
          <w:b/>
          <w:bCs/>
          <w:noProof/>
        </w:rPr>
        <w:t>Ë</w:t>
      </w:r>
      <w:r w:rsidRPr="00051667">
        <w:rPr>
          <w:rFonts w:ascii="Times New Roman" w:hAnsi="Times New Roman" w:cs="Times New Roman"/>
          <w:b/>
          <w:bCs/>
          <w:noProof/>
        </w:rPr>
        <w:t xml:space="preserve"> RAPORT ME PROGRAMIN POLITIK T</w:t>
      </w:r>
      <w:r w:rsidR="00665016" w:rsidRPr="00051667">
        <w:rPr>
          <w:rFonts w:ascii="Times New Roman" w:hAnsi="Times New Roman" w:cs="Times New Roman"/>
          <w:b/>
          <w:bCs/>
          <w:noProof/>
        </w:rPr>
        <w:t>Ë</w:t>
      </w:r>
      <w:r w:rsidRPr="00051667">
        <w:rPr>
          <w:rFonts w:ascii="Times New Roman" w:hAnsi="Times New Roman" w:cs="Times New Roman"/>
          <w:b/>
          <w:bCs/>
          <w:noProof/>
        </w:rPr>
        <w:t xml:space="preserve"> K</w:t>
      </w:r>
      <w:r w:rsidR="00665016" w:rsidRPr="00051667">
        <w:rPr>
          <w:rFonts w:ascii="Times New Roman" w:hAnsi="Times New Roman" w:cs="Times New Roman"/>
          <w:b/>
          <w:bCs/>
          <w:noProof/>
        </w:rPr>
        <w:t>Ë</w:t>
      </w:r>
      <w:r w:rsidRPr="00051667">
        <w:rPr>
          <w:rFonts w:ascii="Times New Roman" w:hAnsi="Times New Roman" w:cs="Times New Roman"/>
          <w:b/>
          <w:bCs/>
          <w:noProof/>
        </w:rPr>
        <w:t>SHILLIT T</w:t>
      </w:r>
      <w:r w:rsidR="00665016" w:rsidRPr="00051667">
        <w:rPr>
          <w:rFonts w:ascii="Times New Roman" w:hAnsi="Times New Roman" w:cs="Times New Roman"/>
          <w:b/>
          <w:bCs/>
          <w:noProof/>
        </w:rPr>
        <w:t>Ë</w:t>
      </w:r>
      <w:r w:rsidRPr="00051667">
        <w:rPr>
          <w:rFonts w:ascii="Times New Roman" w:hAnsi="Times New Roman" w:cs="Times New Roman"/>
          <w:b/>
          <w:bCs/>
          <w:noProof/>
        </w:rPr>
        <w:t xml:space="preserve"> MINISTRAVE, ME PROGRAMIN ANALITIK T</w:t>
      </w:r>
      <w:r w:rsidR="00665016" w:rsidRPr="00051667">
        <w:rPr>
          <w:rFonts w:ascii="Times New Roman" w:hAnsi="Times New Roman" w:cs="Times New Roman"/>
          <w:b/>
          <w:bCs/>
          <w:noProof/>
        </w:rPr>
        <w:t>Ë</w:t>
      </w:r>
      <w:r w:rsidRPr="00051667">
        <w:rPr>
          <w:rFonts w:ascii="Times New Roman" w:hAnsi="Times New Roman" w:cs="Times New Roman"/>
          <w:b/>
          <w:bCs/>
          <w:noProof/>
        </w:rPr>
        <w:t xml:space="preserve"> AKTEVE DHE DOKUMENTAVE T</w:t>
      </w:r>
      <w:r w:rsidR="00665016" w:rsidRPr="00051667">
        <w:rPr>
          <w:rFonts w:ascii="Times New Roman" w:hAnsi="Times New Roman" w:cs="Times New Roman"/>
          <w:b/>
          <w:bCs/>
          <w:noProof/>
        </w:rPr>
        <w:t>Ë</w:t>
      </w:r>
      <w:r w:rsidRPr="00051667">
        <w:rPr>
          <w:rFonts w:ascii="Times New Roman" w:hAnsi="Times New Roman" w:cs="Times New Roman"/>
          <w:b/>
          <w:bCs/>
          <w:noProof/>
        </w:rPr>
        <w:t xml:space="preserve"> TJERA</w:t>
      </w:r>
    </w:p>
    <w:p w14:paraId="58BA63F3" w14:textId="77777777" w:rsidR="006B1FDD" w:rsidRPr="00051667" w:rsidRDefault="006B1FDD" w:rsidP="00051667">
      <w:pPr>
        <w:pStyle w:val="ListParagraph"/>
        <w:spacing w:after="0" w:line="276" w:lineRule="auto"/>
        <w:ind w:left="1080"/>
        <w:jc w:val="both"/>
        <w:rPr>
          <w:rFonts w:ascii="Times New Roman" w:hAnsi="Times New Roman" w:cs="Times New Roman"/>
          <w:noProof/>
        </w:rPr>
      </w:pPr>
    </w:p>
    <w:p w14:paraId="4DD88C16" w14:textId="44E8130C" w:rsidR="00F16262" w:rsidRDefault="00F16262"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Përafrimi i legjislacionit në fushën e tregjeve të kripto-aseteve është pjesë e “Strategjisë së Autoritetit të Mbikëqyrjes Financiare 2023–2027” t</w:t>
      </w:r>
      <w:r w:rsidR="00FD18FB" w:rsidRPr="00051667">
        <w:rPr>
          <w:rFonts w:ascii="Times New Roman" w:hAnsi="Times New Roman" w:cs="Times New Roman"/>
          <w:noProof/>
        </w:rPr>
        <w:t>ë</w:t>
      </w:r>
      <w:r w:rsidRPr="00051667">
        <w:rPr>
          <w:rFonts w:ascii="Times New Roman" w:hAnsi="Times New Roman" w:cs="Times New Roman"/>
          <w:noProof/>
        </w:rPr>
        <w:t xml:space="preserve"> miratuar </w:t>
      </w:r>
      <w:r w:rsidR="001C4D40" w:rsidRPr="00051667">
        <w:rPr>
          <w:rFonts w:ascii="Times New Roman" w:hAnsi="Times New Roman" w:cs="Times New Roman"/>
          <w:noProof/>
        </w:rPr>
        <w:t xml:space="preserve">më 27 prill 2023, me Vendimin </w:t>
      </w:r>
      <w:r w:rsidR="007552EC" w:rsidRPr="00051667">
        <w:rPr>
          <w:rFonts w:ascii="Times New Roman" w:hAnsi="Times New Roman" w:cs="Times New Roman"/>
          <w:noProof/>
        </w:rPr>
        <w:t>n</w:t>
      </w:r>
      <w:r w:rsidR="001C4D40" w:rsidRPr="00051667">
        <w:rPr>
          <w:rFonts w:ascii="Times New Roman" w:hAnsi="Times New Roman" w:cs="Times New Roman"/>
          <w:noProof/>
        </w:rPr>
        <w:t>r. 266 të Këshillit të Ministrave</w:t>
      </w:r>
      <w:r w:rsidR="00D34A82" w:rsidRPr="00051667">
        <w:rPr>
          <w:rFonts w:ascii="Times New Roman" w:hAnsi="Times New Roman" w:cs="Times New Roman"/>
          <w:noProof/>
          <w:lang w:val="en-US"/>
        </w:rPr>
        <w:t xml:space="preserve">. Strategjia </w:t>
      </w:r>
      <w:r w:rsidRPr="00051667">
        <w:rPr>
          <w:rFonts w:ascii="Times New Roman" w:hAnsi="Times New Roman" w:cs="Times New Roman"/>
          <w:noProof/>
        </w:rPr>
        <w:t xml:space="preserve">synon ndërtimin e një kuadri të qëndrueshëm rregullator për ekosistemin e kripto-aseteve, duke vendosur theksin te rritja e kërkesave prudenciale për ofruesit e shërbimeve të kripto-aseteve, mbrojtja më e mirë e konsumatorit, forcimi i masave kundër pastrimit të parave dhe siguria e infrastrukturës teknologjike. </w:t>
      </w:r>
    </w:p>
    <w:p w14:paraId="1C729586" w14:textId="77777777" w:rsidR="00051667" w:rsidRPr="00051667" w:rsidRDefault="00051667" w:rsidP="00051667">
      <w:pPr>
        <w:spacing w:after="0" w:line="276" w:lineRule="auto"/>
        <w:jc w:val="both"/>
        <w:rPr>
          <w:rFonts w:ascii="Times New Roman" w:hAnsi="Times New Roman" w:cs="Times New Roman"/>
          <w:noProof/>
          <w:lang w:val="en-US"/>
        </w:rPr>
      </w:pPr>
    </w:p>
    <w:p w14:paraId="05BEBE0E" w14:textId="0A07B67D" w:rsidR="00B36117" w:rsidRDefault="00B36117"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Projektl</w:t>
      </w:r>
      <w:r w:rsidR="00AB5C10" w:rsidRPr="00051667">
        <w:rPr>
          <w:rFonts w:ascii="Times New Roman" w:hAnsi="Times New Roman" w:cs="Times New Roman"/>
          <w:noProof/>
        </w:rPr>
        <w:t xml:space="preserve">igji </w:t>
      </w:r>
      <w:r w:rsidR="00B23948" w:rsidRPr="00051667">
        <w:rPr>
          <w:rFonts w:ascii="Times New Roman" w:hAnsi="Times New Roman" w:cs="Times New Roman"/>
          <w:noProof/>
        </w:rPr>
        <w:t xml:space="preserve">“Për tregjet e kripto-aseteve” </w:t>
      </w:r>
      <w:r w:rsidR="00FD18FB" w:rsidRPr="00051667">
        <w:rPr>
          <w:rFonts w:ascii="Times New Roman" w:hAnsi="Times New Roman" w:cs="Times New Roman"/>
          <w:noProof/>
        </w:rPr>
        <w:t>ë</w:t>
      </w:r>
      <w:r w:rsidR="00AB5C10" w:rsidRPr="00051667">
        <w:rPr>
          <w:rFonts w:ascii="Times New Roman" w:hAnsi="Times New Roman" w:cs="Times New Roman"/>
          <w:noProof/>
        </w:rPr>
        <w:t>sht</w:t>
      </w:r>
      <w:r w:rsidR="00FD18FB" w:rsidRPr="00051667">
        <w:rPr>
          <w:rFonts w:ascii="Times New Roman" w:hAnsi="Times New Roman" w:cs="Times New Roman"/>
          <w:noProof/>
        </w:rPr>
        <w:t>ë</w:t>
      </w:r>
      <w:r w:rsidR="00AB5C10" w:rsidRPr="00051667">
        <w:rPr>
          <w:rFonts w:ascii="Times New Roman" w:hAnsi="Times New Roman" w:cs="Times New Roman"/>
          <w:noProof/>
        </w:rPr>
        <w:t xml:space="preserve"> parashikuar </w:t>
      </w:r>
      <w:r w:rsidR="006B400B" w:rsidRPr="00051667">
        <w:rPr>
          <w:rFonts w:ascii="Times New Roman" w:hAnsi="Times New Roman" w:cs="Times New Roman"/>
          <w:noProof/>
        </w:rPr>
        <w:t>gjithashtu n</w:t>
      </w:r>
      <w:r w:rsidR="00FD18FB" w:rsidRPr="00051667">
        <w:rPr>
          <w:rFonts w:ascii="Times New Roman" w:hAnsi="Times New Roman" w:cs="Times New Roman"/>
          <w:noProof/>
        </w:rPr>
        <w:t>ë</w:t>
      </w:r>
      <w:r w:rsidR="006B400B" w:rsidRPr="00051667">
        <w:rPr>
          <w:rFonts w:ascii="Times New Roman" w:hAnsi="Times New Roman" w:cs="Times New Roman"/>
          <w:noProof/>
        </w:rPr>
        <w:t xml:space="preserve"> planin e pun</w:t>
      </w:r>
      <w:r w:rsidR="00FD18FB" w:rsidRPr="00051667">
        <w:rPr>
          <w:rFonts w:ascii="Times New Roman" w:hAnsi="Times New Roman" w:cs="Times New Roman"/>
          <w:noProof/>
        </w:rPr>
        <w:t>ë</w:t>
      </w:r>
      <w:r w:rsidR="006B400B" w:rsidRPr="00051667">
        <w:rPr>
          <w:rFonts w:ascii="Times New Roman" w:hAnsi="Times New Roman" w:cs="Times New Roman"/>
          <w:noProof/>
        </w:rPr>
        <w:t>s nd</w:t>
      </w:r>
      <w:r w:rsidR="00FD18FB" w:rsidRPr="00051667">
        <w:rPr>
          <w:rFonts w:ascii="Times New Roman" w:hAnsi="Times New Roman" w:cs="Times New Roman"/>
          <w:noProof/>
        </w:rPr>
        <w:t>ë</w:t>
      </w:r>
      <w:r w:rsidR="006B400B" w:rsidRPr="00051667">
        <w:rPr>
          <w:rFonts w:ascii="Times New Roman" w:hAnsi="Times New Roman" w:cs="Times New Roman"/>
          <w:noProof/>
        </w:rPr>
        <w:t xml:space="preserve">rinstitucional </w:t>
      </w:r>
      <w:r w:rsidR="00587F98" w:rsidRPr="00051667">
        <w:rPr>
          <w:rFonts w:ascii="Times New Roman" w:hAnsi="Times New Roman" w:cs="Times New Roman"/>
          <w:noProof/>
        </w:rPr>
        <w:t>p</w:t>
      </w:r>
      <w:r w:rsidR="00FD18FB" w:rsidRPr="00051667">
        <w:rPr>
          <w:rFonts w:ascii="Times New Roman" w:hAnsi="Times New Roman" w:cs="Times New Roman"/>
          <w:noProof/>
        </w:rPr>
        <w:t>ë</w:t>
      </w:r>
      <w:r w:rsidR="00587F98" w:rsidRPr="00051667">
        <w:rPr>
          <w:rFonts w:ascii="Times New Roman" w:hAnsi="Times New Roman" w:cs="Times New Roman"/>
          <w:noProof/>
        </w:rPr>
        <w:t>r adresimin e piketave mbyll</w:t>
      </w:r>
      <w:r w:rsidR="00FD18FB" w:rsidRPr="00051667">
        <w:rPr>
          <w:rFonts w:ascii="Times New Roman" w:hAnsi="Times New Roman" w:cs="Times New Roman"/>
          <w:noProof/>
        </w:rPr>
        <w:t>ë</w:t>
      </w:r>
      <w:r w:rsidR="00587F98" w:rsidRPr="00051667">
        <w:rPr>
          <w:rFonts w:ascii="Times New Roman" w:hAnsi="Times New Roman" w:cs="Times New Roman"/>
          <w:noProof/>
        </w:rPr>
        <w:t>se (closing benchmarks) p</w:t>
      </w:r>
      <w:r w:rsidR="00FD18FB" w:rsidRPr="00051667">
        <w:rPr>
          <w:rFonts w:ascii="Times New Roman" w:hAnsi="Times New Roman" w:cs="Times New Roman"/>
          <w:noProof/>
        </w:rPr>
        <w:t>ë</w:t>
      </w:r>
      <w:r w:rsidR="00587F98" w:rsidRPr="00051667">
        <w:rPr>
          <w:rFonts w:ascii="Times New Roman" w:hAnsi="Times New Roman" w:cs="Times New Roman"/>
          <w:noProof/>
        </w:rPr>
        <w:t>r Kapitullin 9</w:t>
      </w:r>
      <w:r w:rsidR="00623DCF" w:rsidRPr="00051667">
        <w:rPr>
          <w:rFonts w:ascii="Times New Roman" w:hAnsi="Times New Roman" w:cs="Times New Roman"/>
          <w:noProof/>
        </w:rPr>
        <w:t xml:space="preserve"> </w:t>
      </w:r>
      <w:r w:rsidR="00D475D9" w:rsidRPr="00051667">
        <w:rPr>
          <w:rFonts w:ascii="Times New Roman" w:hAnsi="Times New Roman" w:cs="Times New Roman"/>
          <w:noProof/>
        </w:rPr>
        <w:t>“</w:t>
      </w:r>
      <w:r w:rsidR="00623DCF" w:rsidRPr="00051667">
        <w:rPr>
          <w:rFonts w:ascii="Times New Roman" w:hAnsi="Times New Roman" w:cs="Times New Roman"/>
          <w:noProof/>
        </w:rPr>
        <w:t>Sh</w:t>
      </w:r>
      <w:r w:rsidR="00FD18FB" w:rsidRPr="00051667">
        <w:rPr>
          <w:rFonts w:ascii="Times New Roman" w:hAnsi="Times New Roman" w:cs="Times New Roman"/>
          <w:noProof/>
        </w:rPr>
        <w:t>ë</w:t>
      </w:r>
      <w:r w:rsidR="00623DCF" w:rsidRPr="00051667">
        <w:rPr>
          <w:rFonts w:ascii="Times New Roman" w:hAnsi="Times New Roman" w:cs="Times New Roman"/>
          <w:noProof/>
        </w:rPr>
        <w:t xml:space="preserve">rbimet </w:t>
      </w:r>
      <w:r w:rsidR="00784573" w:rsidRPr="00051667">
        <w:rPr>
          <w:rFonts w:ascii="Times New Roman" w:hAnsi="Times New Roman" w:cs="Times New Roman"/>
          <w:noProof/>
        </w:rPr>
        <w:t>F</w:t>
      </w:r>
      <w:r w:rsidR="00623DCF" w:rsidRPr="00051667">
        <w:rPr>
          <w:rFonts w:ascii="Times New Roman" w:hAnsi="Times New Roman" w:cs="Times New Roman"/>
          <w:noProof/>
        </w:rPr>
        <w:t>inanciare</w:t>
      </w:r>
      <w:r w:rsidR="00D475D9" w:rsidRPr="00051667">
        <w:rPr>
          <w:rFonts w:ascii="Times New Roman" w:hAnsi="Times New Roman" w:cs="Times New Roman"/>
          <w:noProof/>
        </w:rPr>
        <w:t>”</w:t>
      </w:r>
      <w:r w:rsidR="00587F98" w:rsidRPr="00051667">
        <w:rPr>
          <w:rFonts w:ascii="Times New Roman" w:hAnsi="Times New Roman" w:cs="Times New Roman"/>
          <w:noProof/>
        </w:rPr>
        <w:t xml:space="preserve">. </w:t>
      </w:r>
    </w:p>
    <w:p w14:paraId="2B7933E4" w14:textId="77777777" w:rsidR="00051667" w:rsidRPr="00051667" w:rsidRDefault="00051667" w:rsidP="00051667">
      <w:pPr>
        <w:spacing w:after="0" w:line="276" w:lineRule="auto"/>
        <w:jc w:val="both"/>
        <w:rPr>
          <w:rFonts w:ascii="Times New Roman" w:hAnsi="Times New Roman" w:cs="Times New Roman"/>
          <w:noProof/>
        </w:rPr>
      </w:pPr>
    </w:p>
    <w:p w14:paraId="38CFD46B" w14:textId="0A3877EE" w:rsidR="00F16262" w:rsidRPr="00051667" w:rsidRDefault="00011C40"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Ky projektligj nuk </w:t>
      </w:r>
      <w:r w:rsidR="00FD18FB" w:rsidRPr="00051667">
        <w:rPr>
          <w:rFonts w:ascii="Times New Roman" w:hAnsi="Times New Roman" w:cs="Times New Roman"/>
          <w:noProof/>
        </w:rPr>
        <w:t>ë</w:t>
      </w:r>
      <w:r w:rsidRPr="00051667">
        <w:rPr>
          <w:rFonts w:ascii="Times New Roman" w:hAnsi="Times New Roman" w:cs="Times New Roman"/>
          <w:noProof/>
        </w:rPr>
        <w:t>sht</w:t>
      </w:r>
      <w:r w:rsidR="00FD18FB" w:rsidRPr="00051667">
        <w:rPr>
          <w:rFonts w:ascii="Times New Roman" w:hAnsi="Times New Roman" w:cs="Times New Roman"/>
          <w:noProof/>
        </w:rPr>
        <w:t>ë</w:t>
      </w:r>
      <w:r w:rsidRPr="00051667">
        <w:rPr>
          <w:rFonts w:ascii="Times New Roman" w:hAnsi="Times New Roman" w:cs="Times New Roman"/>
          <w:noProof/>
        </w:rPr>
        <w:t xml:space="preserve"> parashikuar n</w:t>
      </w:r>
      <w:r w:rsidR="00FD18FB" w:rsidRPr="00051667">
        <w:rPr>
          <w:rFonts w:ascii="Times New Roman" w:hAnsi="Times New Roman" w:cs="Times New Roman"/>
          <w:noProof/>
        </w:rPr>
        <w:t>ë</w:t>
      </w:r>
      <w:r w:rsidRPr="00051667">
        <w:rPr>
          <w:rFonts w:ascii="Times New Roman" w:hAnsi="Times New Roman" w:cs="Times New Roman"/>
          <w:noProof/>
        </w:rPr>
        <w:t xml:space="preserve"> programin analitik t</w:t>
      </w:r>
      <w:r w:rsidR="00FD18FB" w:rsidRPr="00051667">
        <w:rPr>
          <w:rFonts w:ascii="Times New Roman" w:hAnsi="Times New Roman" w:cs="Times New Roman"/>
          <w:noProof/>
        </w:rPr>
        <w:t>ë</w:t>
      </w:r>
      <w:r w:rsidRPr="00051667">
        <w:rPr>
          <w:rFonts w:ascii="Times New Roman" w:hAnsi="Times New Roman" w:cs="Times New Roman"/>
          <w:noProof/>
        </w:rPr>
        <w:t xml:space="preserve"> projektakteve, t</w:t>
      </w:r>
      <w:r w:rsidR="00FD18FB" w:rsidRPr="00051667">
        <w:rPr>
          <w:rFonts w:ascii="Times New Roman" w:hAnsi="Times New Roman" w:cs="Times New Roman"/>
          <w:noProof/>
        </w:rPr>
        <w:t>ë</w:t>
      </w:r>
      <w:r w:rsidRPr="00051667">
        <w:rPr>
          <w:rFonts w:ascii="Times New Roman" w:hAnsi="Times New Roman" w:cs="Times New Roman"/>
          <w:noProof/>
        </w:rPr>
        <w:t xml:space="preserve"> K</w:t>
      </w:r>
      <w:r w:rsidR="00FD18FB" w:rsidRPr="00051667">
        <w:rPr>
          <w:rFonts w:ascii="Times New Roman" w:hAnsi="Times New Roman" w:cs="Times New Roman"/>
          <w:noProof/>
        </w:rPr>
        <w:t>ë</w:t>
      </w:r>
      <w:r w:rsidRPr="00051667">
        <w:rPr>
          <w:rFonts w:ascii="Times New Roman" w:hAnsi="Times New Roman" w:cs="Times New Roman"/>
          <w:noProof/>
        </w:rPr>
        <w:t>shillit t</w:t>
      </w:r>
      <w:r w:rsidR="00FD18FB" w:rsidRPr="00051667">
        <w:rPr>
          <w:rFonts w:ascii="Times New Roman" w:hAnsi="Times New Roman" w:cs="Times New Roman"/>
          <w:noProof/>
        </w:rPr>
        <w:t>ë</w:t>
      </w:r>
      <w:r w:rsidRPr="00051667">
        <w:rPr>
          <w:rFonts w:ascii="Times New Roman" w:hAnsi="Times New Roman" w:cs="Times New Roman"/>
          <w:noProof/>
        </w:rPr>
        <w:t xml:space="preserve"> Ministrave gjat</w:t>
      </w:r>
      <w:r w:rsidR="00FD18FB" w:rsidRPr="00051667">
        <w:rPr>
          <w:rFonts w:ascii="Times New Roman" w:hAnsi="Times New Roman" w:cs="Times New Roman"/>
          <w:noProof/>
        </w:rPr>
        <w:t>ë</w:t>
      </w:r>
      <w:r w:rsidRPr="00051667">
        <w:rPr>
          <w:rFonts w:ascii="Times New Roman" w:hAnsi="Times New Roman" w:cs="Times New Roman"/>
          <w:noProof/>
        </w:rPr>
        <w:t xml:space="preserve"> vitit 2025</w:t>
      </w:r>
      <w:r w:rsidR="00212F9A" w:rsidRPr="00051667">
        <w:rPr>
          <w:rFonts w:ascii="Times New Roman" w:hAnsi="Times New Roman" w:cs="Times New Roman"/>
          <w:noProof/>
        </w:rPr>
        <w:t>-2026</w:t>
      </w:r>
      <w:r w:rsidRPr="00051667">
        <w:rPr>
          <w:rFonts w:ascii="Times New Roman" w:hAnsi="Times New Roman" w:cs="Times New Roman"/>
          <w:noProof/>
        </w:rPr>
        <w:t>.</w:t>
      </w:r>
    </w:p>
    <w:p w14:paraId="320DDE8A" w14:textId="77777777" w:rsidR="00011C40" w:rsidRDefault="00011C40" w:rsidP="00051667">
      <w:pPr>
        <w:pStyle w:val="ListParagraph"/>
        <w:spacing w:after="0" w:line="276" w:lineRule="auto"/>
        <w:ind w:left="1080"/>
        <w:jc w:val="both"/>
        <w:rPr>
          <w:rFonts w:ascii="Times New Roman" w:hAnsi="Times New Roman" w:cs="Times New Roman"/>
          <w:noProof/>
        </w:rPr>
      </w:pPr>
    </w:p>
    <w:p w14:paraId="74A4CAD8" w14:textId="77777777" w:rsidR="00051667" w:rsidRPr="00051667" w:rsidRDefault="00051667" w:rsidP="00051667">
      <w:pPr>
        <w:pStyle w:val="ListParagraph"/>
        <w:spacing w:after="0" w:line="276" w:lineRule="auto"/>
        <w:ind w:left="1080"/>
        <w:jc w:val="both"/>
        <w:rPr>
          <w:rFonts w:ascii="Times New Roman" w:hAnsi="Times New Roman" w:cs="Times New Roman"/>
          <w:noProof/>
        </w:rPr>
      </w:pPr>
    </w:p>
    <w:p w14:paraId="5CA7DDC7" w14:textId="4CE14E4D" w:rsidR="00665016" w:rsidRPr="00051667" w:rsidRDefault="006B1FDD" w:rsidP="00051667">
      <w:pPr>
        <w:pStyle w:val="ListParagraph"/>
        <w:numPr>
          <w:ilvl w:val="0"/>
          <w:numId w:val="3"/>
        </w:numPr>
        <w:spacing w:after="0" w:line="276" w:lineRule="auto"/>
        <w:jc w:val="both"/>
        <w:rPr>
          <w:rFonts w:ascii="Times New Roman" w:hAnsi="Times New Roman" w:cs="Times New Roman"/>
          <w:noProof/>
        </w:rPr>
      </w:pPr>
      <w:r w:rsidRPr="00051667">
        <w:rPr>
          <w:rFonts w:ascii="Times New Roman" w:hAnsi="Times New Roman" w:cs="Times New Roman"/>
          <w:b/>
          <w:bCs/>
          <w:noProof/>
        </w:rPr>
        <w:t>ARGUMENTIMI I PROJEKT LIGJIT LIDHUR ME P</w:t>
      </w:r>
      <w:r w:rsidR="00665016" w:rsidRPr="00051667">
        <w:rPr>
          <w:rFonts w:ascii="Times New Roman" w:hAnsi="Times New Roman" w:cs="Times New Roman"/>
          <w:b/>
          <w:bCs/>
          <w:noProof/>
        </w:rPr>
        <w:t>Ë</w:t>
      </w:r>
      <w:r w:rsidRPr="00051667">
        <w:rPr>
          <w:rFonts w:ascii="Times New Roman" w:hAnsi="Times New Roman" w:cs="Times New Roman"/>
          <w:b/>
          <w:bCs/>
          <w:noProof/>
        </w:rPr>
        <w:t>RPAR</w:t>
      </w:r>
      <w:r w:rsidR="00665016" w:rsidRPr="00051667">
        <w:rPr>
          <w:rFonts w:ascii="Times New Roman" w:hAnsi="Times New Roman" w:cs="Times New Roman"/>
          <w:b/>
          <w:bCs/>
          <w:noProof/>
        </w:rPr>
        <w:t>Ë</w:t>
      </w:r>
      <w:r w:rsidRPr="00051667">
        <w:rPr>
          <w:rFonts w:ascii="Times New Roman" w:hAnsi="Times New Roman" w:cs="Times New Roman"/>
          <w:b/>
          <w:bCs/>
          <w:noProof/>
        </w:rPr>
        <w:t>SIT</w:t>
      </w:r>
      <w:r w:rsidR="00665016" w:rsidRPr="00051667">
        <w:rPr>
          <w:rFonts w:ascii="Times New Roman" w:hAnsi="Times New Roman" w:cs="Times New Roman"/>
          <w:b/>
          <w:bCs/>
          <w:noProof/>
        </w:rPr>
        <w:t>Ë</w:t>
      </w:r>
      <w:r w:rsidRPr="00051667">
        <w:rPr>
          <w:rFonts w:ascii="Times New Roman" w:hAnsi="Times New Roman" w:cs="Times New Roman"/>
          <w:b/>
          <w:bCs/>
          <w:noProof/>
        </w:rPr>
        <w:t xml:space="preserve">, PROBLEMATIKAT, EFEKTET E PRITSHME </w:t>
      </w:r>
    </w:p>
    <w:p w14:paraId="167EE67E" w14:textId="77777777" w:rsidR="008143D8" w:rsidRPr="00051667" w:rsidRDefault="008143D8" w:rsidP="00051667">
      <w:pPr>
        <w:pStyle w:val="ListParagraph"/>
        <w:spacing w:after="0" w:line="276" w:lineRule="auto"/>
        <w:rPr>
          <w:rFonts w:ascii="Times New Roman" w:hAnsi="Times New Roman" w:cs="Times New Roman"/>
          <w:noProof/>
        </w:rPr>
      </w:pPr>
    </w:p>
    <w:p w14:paraId="559EAE3F" w14:textId="5F0F7EB6" w:rsidR="00051667" w:rsidRDefault="006741CC"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Me an</w:t>
      </w:r>
      <w:r w:rsidR="00FD18FB" w:rsidRPr="00051667">
        <w:rPr>
          <w:rFonts w:ascii="Times New Roman" w:hAnsi="Times New Roman" w:cs="Times New Roman"/>
          <w:noProof/>
        </w:rPr>
        <w:t>ë</w:t>
      </w:r>
      <w:r w:rsidRPr="00051667">
        <w:rPr>
          <w:rFonts w:ascii="Times New Roman" w:hAnsi="Times New Roman" w:cs="Times New Roman"/>
          <w:noProof/>
        </w:rPr>
        <w:t xml:space="preserve"> t</w:t>
      </w:r>
      <w:r w:rsidR="00FD18FB" w:rsidRPr="00051667">
        <w:rPr>
          <w:rFonts w:ascii="Times New Roman" w:hAnsi="Times New Roman" w:cs="Times New Roman"/>
          <w:noProof/>
        </w:rPr>
        <w:t>ë</w:t>
      </w:r>
      <w:r w:rsidRPr="00051667">
        <w:rPr>
          <w:rFonts w:ascii="Times New Roman" w:hAnsi="Times New Roman" w:cs="Times New Roman"/>
          <w:noProof/>
        </w:rPr>
        <w:t xml:space="preserve"> k</w:t>
      </w:r>
      <w:r w:rsidR="00FD18FB" w:rsidRPr="00051667">
        <w:rPr>
          <w:rFonts w:ascii="Times New Roman" w:hAnsi="Times New Roman" w:cs="Times New Roman"/>
          <w:noProof/>
        </w:rPr>
        <w:t>ë</w:t>
      </w:r>
      <w:r w:rsidRPr="00051667">
        <w:rPr>
          <w:rFonts w:ascii="Times New Roman" w:hAnsi="Times New Roman" w:cs="Times New Roman"/>
          <w:noProof/>
        </w:rPr>
        <w:t>tij projektligji</w:t>
      </w:r>
      <w:r w:rsidR="008143D8" w:rsidRPr="00051667">
        <w:rPr>
          <w:rFonts w:ascii="Times New Roman" w:hAnsi="Times New Roman" w:cs="Times New Roman"/>
          <w:noProof/>
        </w:rPr>
        <w:t xml:space="preserve"> syno</w:t>
      </w:r>
      <w:r w:rsidR="007A6496" w:rsidRPr="00051667">
        <w:rPr>
          <w:rFonts w:ascii="Times New Roman" w:hAnsi="Times New Roman" w:cs="Times New Roman"/>
          <w:noProof/>
        </w:rPr>
        <w:t>het</w:t>
      </w:r>
      <w:r w:rsidR="008143D8" w:rsidRPr="00051667">
        <w:rPr>
          <w:rFonts w:ascii="Times New Roman" w:hAnsi="Times New Roman" w:cs="Times New Roman"/>
          <w:noProof/>
        </w:rPr>
        <w:t xml:space="preserve"> zhvillimi </w:t>
      </w:r>
      <w:r w:rsidR="007A6496" w:rsidRPr="00051667">
        <w:rPr>
          <w:rFonts w:ascii="Times New Roman" w:hAnsi="Times New Roman" w:cs="Times New Roman"/>
          <w:noProof/>
        </w:rPr>
        <w:t>i</w:t>
      </w:r>
      <w:r w:rsidR="008143D8" w:rsidRPr="00051667">
        <w:rPr>
          <w:rFonts w:ascii="Times New Roman" w:hAnsi="Times New Roman" w:cs="Times New Roman"/>
          <w:noProof/>
        </w:rPr>
        <w:t xml:space="preserve"> tregjeve të kripto-aseteve duke krijuar kushtet e nevojshme përsa i përket kornizës rregullative dhe ligjore të përafruar me atë të Bashkimit Evropian. </w:t>
      </w:r>
      <w:r w:rsidR="00B23948" w:rsidRPr="00051667">
        <w:rPr>
          <w:rFonts w:ascii="Times New Roman" w:hAnsi="Times New Roman" w:cs="Times New Roman"/>
          <w:noProof/>
        </w:rPr>
        <w:t xml:space="preserve"> </w:t>
      </w:r>
    </w:p>
    <w:p w14:paraId="776641E8" w14:textId="77777777" w:rsidR="00051667" w:rsidRPr="00051667" w:rsidRDefault="00051667" w:rsidP="00051667">
      <w:pPr>
        <w:spacing w:after="0" w:line="276" w:lineRule="auto"/>
        <w:jc w:val="both"/>
        <w:rPr>
          <w:rFonts w:ascii="Times New Roman" w:hAnsi="Times New Roman" w:cs="Times New Roman"/>
          <w:noProof/>
          <w:lang w:val="en-US"/>
        </w:rPr>
      </w:pPr>
    </w:p>
    <w:p w14:paraId="71310DAA" w14:textId="4FD62CBF" w:rsidR="00B23948" w:rsidRDefault="00B23948" w:rsidP="00051667">
      <w:pPr>
        <w:spacing w:after="0" w:line="276" w:lineRule="auto"/>
        <w:jc w:val="both"/>
        <w:rPr>
          <w:rFonts w:ascii="Times New Roman" w:hAnsi="Times New Roman" w:cs="Times New Roman"/>
          <w:noProof/>
          <w:lang w:val="en-US"/>
        </w:rPr>
      </w:pPr>
      <w:r w:rsidRPr="00051667">
        <w:rPr>
          <w:rFonts w:ascii="Times New Roman" w:hAnsi="Times New Roman" w:cs="Times New Roman"/>
          <w:noProof/>
          <w:lang w:val="en-US"/>
        </w:rPr>
        <w:t>Projekt</w:t>
      </w:r>
      <w:r w:rsidRPr="00051667">
        <w:rPr>
          <w:rFonts w:ascii="Times New Roman" w:hAnsi="Times New Roman" w:cs="Times New Roman"/>
          <w:noProof/>
        </w:rPr>
        <w:t>ligj “Për tregjet e kripto-aseteve” përcakton:</w:t>
      </w:r>
      <w:r w:rsidRPr="00051667">
        <w:rPr>
          <w:rFonts w:ascii="Times New Roman" w:hAnsi="Times New Roman" w:cs="Times New Roman"/>
          <w:noProof/>
          <w:lang w:val="en-US"/>
        </w:rPr>
        <w:t> </w:t>
      </w:r>
    </w:p>
    <w:p w14:paraId="4CF4B985" w14:textId="77777777" w:rsidR="00051667" w:rsidRPr="00051667" w:rsidRDefault="00051667" w:rsidP="00051667">
      <w:pPr>
        <w:spacing w:after="0" w:line="276" w:lineRule="auto"/>
        <w:jc w:val="both"/>
        <w:rPr>
          <w:rFonts w:ascii="Times New Roman" w:hAnsi="Times New Roman" w:cs="Times New Roman"/>
          <w:noProof/>
          <w:lang w:val="en-US"/>
        </w:rPr>
      </w:pPr>
    </w:p>
    <w:p w14:paraId="01E62494" w14:textId="7DC5D0DE" w:rsidR="00B23948" w:rsidRPr="00051667" w:rsidRDefault="00CE4896" w:rsidP="00051667">
      <w:pPr>
        <w:numPr>
          <w:ilvl w:val="0"/>
          <w:numId w:val="11"/>
        </w:numPr>
        <w:spacing w:after="0" w:line="276" w:lineRule="auto"/>
        <w:ind w:left="720"/>
        <w:jc w:val="both"/>
        <w:rPr>
          <w:rFonts w:ascii="Times New Roman" w:hAnsi="Times New Roman" w:cs="Times New Roman"/>
          <w:noProof/>
          <w:lang w:val="en-US"/>
        </w:rPr>
      </w:pPr>
      <w:r w:rsidRPr="00051667">
        <w:rPr>
          <w:rFonts w:ascii="Times New Roman" w:hAnsi="Times New Roman" w:cs="Times New Roman"/>
          <w:noProof/>
        </w:rPr>
        <w:t>K</w:t>
      </w:r>
      <w:r w:rsidR="00B23948" w:rsidRPr="00051667">
        <w:rPr>
          <w:rFonts w:ascii="Times New Roman" w:hAnsi="Times New Roman" w:cs="Times New Roman"/>
          <w:noProof/>
        </w:rPr>
        <w:t>ërkesat për transparencë dhe publikimin e  informacionit për publikun në lidhje me emetimin, ofertën ndaj publikut dhe pranimin e kripto-aseteve për tregtim në një platforme tregtimi kripto-asetesh në vijim “pranimi për tregtim”</w:t>
      </w:r>
      <w:r w:rsidRPr="00051667">
        <w:rPr>
          <w:rFonts w:ascii="Times New Roman" w:hAnsi="Times New Roman" w:cs="Times New Roman"/>
          <w:noProof/>
        </w:rPr>
        <w:t>;</w:t>
      </w:r>
      <w:r w:rsidR="00B23948" w:rsidRPr="00051667">
        <w:rPr>
          <w:rFonts w:ascii="Times New Roman" w:hAnsi="Times New Roman" w:cs="Times New Roman"/>
          <w:noProof/>
        </w:rPr>
        <w:t> </w:t>
      </w:r>
      <w:r w:rsidR="00B23948" w:rsidRPr="00051667">
        <w:rPr>
          <w:rFonts w:ascii="Times New Roman" w:hAnsi="Times New Roman" w:cs="Times New Roman"/>
          <w:noProof/>
          <w:lang w:val="en-US"/>
        </w:rPr>
        <w:t> </w:t>
      </w:r>
    </w:p>
    <w:p w14:paraId="7515F1F1" w14:textId="5698E097" w:rsidR="00B23948" w:rsidRPr="00051667" w:rsidRDefault="00CE4896" w:rsidP="00051667">
      <w:pPr>
        <w:numPr>
          <w:ilvl w:val="0"/>
          <w:numId w:val="11"/>
        </w:numPr>
        <w:spacing w:after="0" w:line="276" w:lineRule="auto"/>
        <w:ind w:left="720"/>
        <w:jc w:val="both"/>
        <w:rPr>
          <w:rFonts w:ascii="Times New Roman" w:hAnsi="Times New Roman" w:cs="Times New Roman"/>
          <w:noProof/>
          <w:lang w:val="en-US"/>
        </w:rPr>
      </w:pPr>
      <w:r w:rsidRPr="00051667">
        <w:rPr>
          <w:rFonts w:ascii="Times New Roman" w:hAnsi="Times New Roman" w:cs="Times New Roman"/>
          <w:noProof/>
        </w:rPr>
        <w:t>K</w:t>
      </w:r>
      <w:r w:rsidR="00B23948" w:rsidRPr="00051667">
        <w:rPr>
          <w:rFonts w:ascii="Times New Roman" w:hAnsi="Times New Roman" w:cs="Times New Roman"/>
          <w:noProof/>
        </w:rPr>
        <w:t>ërkesat dhe rregullat për autorizim dhe mbikëqyrjen në vazhdimësi të ofruesve të shërbimeve të lidhura me kripto-asetet, emetuesve të tokenave të aseteve the tokenave të parasë elektronike, duke përfshirë këtu kërkesat operacionale, organizative dhe ato të qeverisjes së brendshme</w:t>
      </w:r>
      <w:r w:rsidRPr="00051667">
        <w:rPr>
          <w:rFonts w:ascii="Times New Roman" w:hAnsi="Times New Roman" w:cs="Times New Roman"/>
          <w:noProof/>
        </w:rPr>
        <w:t>;</w:t>
      </w:r>
      <w:r w:rsidR="00B23948" w:rsidRPr="00051667">
        <w:rPr>
          <w:rFonts w:ascii="Times New Roman" w:hAnsi="Times New Roman" w:cs="Times New Roman"/>
          <w:noProof/>
          <w:lang w:val="en-US"/>
        </w:rPr>
        <w:t> </w:t>
      </w:r>
    </w:p>
    <w:p w14:paraId="65EFA2E3" w14:textId="33D86626" w:rsidR="00B23948" w:rsidRPr="00051667" w:rsidRDefault="00CE4896" w:rsidP="00051667">
      <w:pPr>
        <w:numPr>
          <w:ilvl w:val="0"/>
          <w:numId w:val="11"/>
        </w:numPr>
        <w:spacing w:after="0" w:line="276" w:lineRule="auto"/>
        <w:ind w:left="720"/>
        <w:jc w:val="both"/>
        <w:rPr>
          <w:rFonts w:ascii="Times New Roman" w:hAnsi="Times New Roman" w:cs="Times New Roman"/>
          <w:noProof/>
          <w:lang w:val="en-US"/>
        </w:rPr>
      </w:pPr>
      <w:r w:rsidRPr="00051667">
        <w:rPr>
          <w:rFonts w:ascii="Times New Roman" w:hAnsi="Times New Roman" w:cs="Times New Roman"/>
          <w:noProof/>
        </w:rPr>
        <w:t>K</w:t>
      </w:r>
      <w:r w:rsidR="00B23948" w:rsidRPr="00051667">
        <w:rPr>
          <w:rFonts w:ascii="Times New Roman" w:hAnsi="Times New Roman" w:cs="Times New Roman"/>
          <w:noProof/>
        </w:rPr>
        <w:t>ërkesat për mbrojtjen e investitorëve gjatë emetimit, ofertës ndaj publikut dhe pranimit për tregtim të kripto-aseteve</w:t>
      </w:r>
      <w:r w:rsidRPr="00051667">
        <w:rPr>
          <w:rFonts w:ascii="Times New Roman" w:hAnsi="Times New Roman" w:cs="Times New Roman"/>
          <w:noProof/>
        </w:rPr>
        <w:t>;</w:t>
      </w:r>
      <w:r w:rsidR="00B23948" w:rsidRPr="00051667">
        <w:rPr>
          <w:rFonts w:ascii="Times New Roman" w:hAnsi="Times New Roman" w:cs="Times New Roman"/>
          <w:noProof/>
          <w:lang w:val="en-US"/>
        </w:rPr>
        <w:t> </w:t>
      </w:r>
    </w:p>
    <w:p w14:paraId="3548C471" w14:textId="4966E26E" w:rsidR="00B23948" w:rsidRPr="00051667" w:rsidRDefault="00CE4896" w:rsidP="00051667">
      <w:pPr>
        <w:numPr>
          <w:ilvl w:val="0"/>
          <w:numId w:val="11"/>
        </w:numPr>
        <w:spacing w:after="0" w:line="276" w:lineRule="auto"/>
        <w:ind w:left="720"/>
        <w:jc w:val="both"/>
        <w:rPr>
          <w:rFonts w:ascii="Times New Roman" w:hAnsi="Times New Roman" w:cs="Times New Roman"/>
          <w:noProof/>
          <w:lang w:val="en-US"/>
        </w:rPr>
      </w:pPr>
      <w:r w:rsidRPr="00051667">
        <w:rPr>
          <w:rFonts w:ascii="Times New Roman" w:hAnsi="Times New Roman" w:cs="Times New Roman"/>
          <w:noProof/>
        </w:rPr>
        <w:t>K</w:t>
      </w:r>
      <w:r w:rsidR="00B23948" w:rsidRPr="00051667">
        <w:rPr>
          <w:rFonts w:ascii="Times New Roman" w:hAnsi="Times New Roman" w:cs="Times New Roman"/>
          <w:noProof/>
        </w:rPr>
        <w:t>ërkesat për mbrojtjen e klientëve të ofruesve të shërbimeve të lidhura me kripto-asetet</w:t>
      </w:r>
      <w:r w:rsidRPr="00051667">
        <w:rPr>
          <w:rFonts w:ascii="Times New Roman" w:hAnsi="Times New Roman" w:cs="Times New Roman"/>
          <w:noProof/>
        </w:rPr>
        <w:t>;</w:t>
      </w:r>
      <w:r w:rsidR="00B23948" w:rsidRPr="00051667">
        <w:rPr>
          <w:rFonts w:ascii="Times New Roman" w:hAnsi="Times New Roman" w:cs="Times New Roman"/>
          <w:noProof/>
          <w:lang w:val="en-US"/>
        </w:rPr>
        <w:t> </w:t>
      </w:r>
    </w:p>
    <w:p w14:paraId="43A5050F" w14:textId="2E5C4377" w:rsidR="00B23948" w:rsidRDefault="00CE4896" w:rsidP="00051667">
      <w:pPr>
        <w:numPr>
          <w:ilvl w:val="0"/>
          <w:numId w:val="11"/>
        </w:numPr>
        <w:spacing w:after="0" w:line="276" w:lineRule="auto"/>
        <w:ind w:left="720"/>
        <w:jc w:val="both"/>
        <w:rPr>
          <w:rFonts w:ascii="Times New Roman" w:hAnsi="Times New Roman" w:cs="Times New Roman"/>
          <w:noProof/>
          <w:lang w:val="en-US"/>
        </w:rPr>
      </w:pPr>
      <w:r w:rsidRPr="00051667">
        <w:rPr>
          <w:rFonts w:ascii="Times New Roman" w:hAnsi="Times New Roman" w:cs="Times New Roman"/>
          <w:noProof/>
        </w:rPr>
        <w:t>M</w:t>
      </w:r>
      <w:r w:rsidR="00B23948" w:rsidRPr="00051667">
        <w:rPr>
          <w:rFonts w:ascii="Times New Roman" w:hAnsi="Times New Roman" w:cs="Times New Roman"/>
          <w:noProof/>
        </w:rPr>
        <w:t>asat për parandalimin e tregtimit të brendshëm, përhapjen e informacionit të brendshëm dhe parandalimin e manipulimit të tregut të kripto-aseteve, me qëllim sigurimin e integritetit të tregjeve të kripto-aseteve.</w:t>
      </w:r>
      <w:r w:rsidR="00B23948" w:rsidRPr="00051667">
        <w:rPr>
          <w:rFonts w:ascii="Times New Roman" w:hAnsi="Times New Roman" w:cs="Times New Roman"/>
          <w:noProof/>
          <w:lang w:val="en-US"/>
        </w:rPr>
        <w:t> </w:t>
      </w:r>
    </w:p>
    <w:p w14:paraId="034C7125" w14:textId="6019CE7D" w:rsidR="0087685E" w:rsidRDefault="0087685E" w:rsidP="00051667">
      <w:pPr>
        <w:numPr>
          <w:ilvl w:val="0"/>
          <w:numId w:val="11"/>
        </w:numPr>
        <w:spacing w:after="0" w:line="276" w:lineRule="auto"/>
        <w:ind w:left="720"/>
        <w:jc w:val="both"/>
        <w:rPr>
          <w:rFonts w:ascii="Times New Roman" w:hAnsi="Times New Roman" w:cs="Times New Roman"/>
          <w:noProof/>
          <w:lang w:val="en-US"/>
        </w:rPr>
      </w:pPr>
      <w:r>
        <w:rPr>
          <w:rFonts w:ascii="Times New Roman" w:hAnsi="Times New Roman" w:cs="Times New Roman"/>
          <w:noProof/>
          <w:lang w:val="en-US"/>
        </w:rPr>
        <w:t>Ndarjen e kompetencave midis autoriteteve përgjegjëse për zbatimin e këtij projektligji</w:t>
      </w:r>
    </w:p>
    <w:p w14:paraId="1CBCF5A2" w14:textId="77777777" w:rsidR="00051667" w:rsidRPr="00051667" w:rsidRDefault="00051667" w:rsidP="00051667">
      <w:pPr>
        <w:spacing w:after="0" w:line="276" w:lineRule="auto"/>
        <w:ind w:left="720"/>
        <w:jc w:val="both"/>
        <w:rPr>
          <w:rFonts w:ascii="Times New Roman" w:hAnsi="Times New Roman" w:cs="Times New Roman"/>
          <w:noProof/>
          <w:lang w:val="en-US"/>
        </w:rPr>
      </w:pPr>
    </w:p>
    <w:p w14:paraId="0B9034B5" w14:textId="621C8623" w:rsidR="006B1FDD" w:rsidRPr="00051667" w:rsidRDefault="0099725C" w:rsidP="00051667">
      <w:pPr>
        <w:pStyle w:val="ListParagraph"/>
        <w:spacing w:after="0" w:line="276" w:lineRule="auto"/>
        <w:ind w:left="0"/>
        <w:jc w:val="both"/>
        <w:rPr>
          <w:rFonts w:ascii="Times New Roman" w:hAnsi="Times New Roman" w:cs="Times New Roman"/>
          <w:noProof/>
        </w:rPr>
      </w:pPr>
      <w:r w:rsidRPr="00051667">
        <w:rPr>
          <w:rFonts w:ascii="Times New Roman" w:hAnsi="Times New Roman" w:cs="Times New Roman"/>
          <w:noProof/>
        </w:rPr>
        <w:lastRenderedPageBreak/>
        <w:t>Kripto-asetet jan</w:t>
      </w:r>
      <w:r w:rsidR="00665016" w:rsidRPr="00051667">
        <w:rPr>
          <w:rFonts w:ascii="Times New Roman" w:hAnsi="Times New Roman" w:cs="Times New Roman"/>
          <w:noProof/>
        </w:rPr>
        <w:t>ë</w:t>
      </w:r>
      <w:r w:rsidRPr="00051667">
        <w:rPr>
          <w:rFonts w:ascii="Times New Roman" w:hAnsi="Times New Roman" w:cs="Times New Roman"/>
          <w:noProof/>
        </w:rPr>
        <w:t xml:space="preserve"> nj</w:t>
      </w:r>
      <w:r w:rsidR="00665016" w:rsidRPr="00051667">
        <w:rPr>
          <w:rFonts w:ascii="Times New Roman" w:hAnsi="Times New Roman" w:cs="Times New Roman"/>
          <w:noProof/>
        </w:rPr>
        <w:t>ë</w:t>
      </w:r>
      <w:r w:rsidRPr="00051667">
        <w:rPr>
          <w:rFonts w:ascii="Times New Roman" w:hAnsi="Times New Roman" w:cs="Times New Roman"/>
          <w:noProof/>
        </w:rPr>
        <w:t xml:space="preserve"> prej produkteve kryesore t</w:t>
      </w:r>
      <w:r w:rsidR="00665016" w:rsidRPr="00051667">
        <w:rPr>
          <w:rFonts w:ascii="Times New Roman" w:hAnsi="Times New Roman" w:cs="Times New Roman"/>
          <w:noProof/>
        </w:rPr>
        <w:t>ë</w:t>
      </w:r>
      <w:r w:rsidRPr="00051667">
        <w:rPr>
          <w:rFonts w:ascii="Times New Roman" w:hAnsi="Times New Roman" w:cs="Times New Roman"/>
          <w:noProof/>
        </w:rPr>
        <w:t xml:space="preserve"> mb</w:t>
      </w:r>
      <w:r w:rsidR="00665016" w:rsidRPr="00051667">
        <w:rPr>
          <w:rFonts w:ascii="Times New Roman" w:hAnsi="Times New Roman" w:cs="Times New Roman"/>
          <w:noProof/>
        </w:rPr>
        <w:t>ë</w:t>
      </w:r>
      <w:r w:rsidRPr="00051667">
        <w:rPr>
          <w:rFonts w:ascii="Times New Roman" w:hAnsi="Times New Roman" w:cs="Times New Roman"/>
          <w:noProof/>
        </w:rPr>
        <w:t>shtetura n</w:t>
      </w:r>
      <w:r w:rsidR="00665016" w:rsidRPr="00051667">
        <w:rPr>
          <w:rFonts w:ascii="Times New Roman" w:hAnsi="Times New Roman" w:cs="Times New Roman"/>
          <w:noProof/>
        </w:rPr>
        <w:t>ë</w:t>
      </w:r>
      <w:r w:rsidRPr="00051667">
        <w:rPr>
          <w:rFonts w:ascii="Times New Roman" w:hAnsi="Times New Roman" w:cs="Times New Roman"/>
          <w:noProof/>
        </w:rPr>
        <w:t xml:space="preserve"> teknologjin</w:t>
      </w:r>
      <w:r w:rsidR="00665016" w:rsidRPr="00051667">
        <w:rPr>
          <w:rFonts w:ascii="Times New Roman" w:hAnsi="Times New Roman" w:cs="Times New Roman"/>
          <w:noProof/>
        </w:rPr>
        <w:t>ë</w:t>
      </w:r>
      <w:r w:rsidRPr="00051667">
        <w:rPr>
          <w:rFonts w:ascii="Times New Roman" w:hAnsi="Times New Roman" w:cs="Times New Roman"/>
          <w:noProof/>
        </w:rPr>
        <w:t xml:space="preserve"> e regjistrave t</w:t>
      </w:r>
      <w:r w:rsidR="00665016" w:rsidRPr="00051667">
        <w:rPr>
          <w:rFonts w:ascii="Times New Roman" w:hAnsi="Times New Roman" w:cs="Times New Roman"/>
          <w:noProof/>
        </w:rPr>
        <w:t>ë</w:t>
      </w:r>
      <w:r w:rsidRPr="00051667">
        <w:rPr>
          <w:rFonts w:ascii="Times New Roman" w:hAnsi="Times New Roman" w:cs="Times New Roman"/>
          <w:noProof/>
        </w:rPr>
        <w:t xml:space="preserve"> shp</w:t>
      </w:r>
      <w:r w:rsidR="00665016" w:rsidRPr="00051667">
        <w:rPr>
          <w:rFonts w:ascii="Times New Roman" w:hAnsi="Times New Roman" w:cs="Times New Roman"/>
          <w:noProof/>
        </w:rPr>
        <w:t>ë</w:t>
      </w:r>
      <w:r w:rsidRPr="00051667">
        <w:rPr>
          <w:rFonts w:ascii="Times New Roman" w:hAnsi="Times New Roman" w:cs="Times New Roman"/>
          <w:noProof/>
        </w:rPr>
        <w:t>rndar</w:t>
      </w:r>
      <w:r w:rsidR="00665016" w:rsidRPr="00051667">
        <w:rPr>
          <w:rFonts w:ascii="Times New Roman" w:hAnsi="Times New Roman" w:cs="Times New Roman"/>
          <w:noProof/>
        </w:rPr>
        <w:t>ë</w:t>
      </w:r>
      <w:r w:rsidRPr="00051667">
        <w:rPr>
          <w:rFonts w:ascii="Times New Roman" w:hAnsi="Times New Roman" w:cs="Times New Roman"/>
          <w:noProof/>
        </w:rPr>
        <w:t>. Ato jan</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rfaq</w:t>
      </w:r>
      <w:r w:rsidR="00665016" w:rsidRPr="00051667">
        <w:rPr>
          <w:rFonts w:ascii="Times New Roman" w:hAnsi="Times New Roman" w:cs="Times New Roman"/>
          <w:noProof/>
        </w:rPr>
        <w:t>ë</w:t>
      </w:r>
      <w:r w:rsidRPr="00051667">
        <w:rPr>
          <w:rFonts w:ascii="Times New Roman" w:hAnsi="Times New Roman" w:cs="Times New Roman"/>
          <w:noProof/>
        </w:rPr>
        <w:t>sime digjitale t</w:t>
      </w:r>
      <w:r w:rsidR="00665016" w:rsidRPr="00051667">
        <w:rPr>
          <w:rFonts w:ascii="Times New Roman" w:hAnsi="Times New Roman" w:cs="Times New Roman"/>
          <w:noProof/>
        </w:rPr>
        <w:t>ë</w:t>
      </w:r>
      <w:r w:rsidRPr="00051667">
        <w:rPr>
          <w:rFonts w:ascii="Times New Roman" w:hAnsi="Times New Roman" w:cs="Times New Roman"/>
          <w:noProof/>
        </w:rPr>
        <w:t xml:space="preserve"> nj</w:t>
      </w:r>
      <w:r w:rsidR="00665016" w:rsidRPr="00051667">
        <w:rPr>
          <w:rFonts w:ascii="Times New Roman" w:hAnsi="Times New Roman" w:cs="Times New Roman"/>
          <w:noProof/>
        </w:rPr>
        <w:t>ë</w:t>
      </w:r>
      <w:r w:rsidRPr="00051667">
        <w:rPr>
          <w:rFonts w:ascii="Times New Roman" w:hAnsi="Times New Roman" w:cs="Times New Roman"/>
          <w:noProof/>
        </w:rPr>
        <w:t xml:space="preserve"> vlere ose t</w:t>
      </w:r>
      <w:r w:rsidR="00665016" w:rsidRPr="00051667">
        <w:rPr>
          <w:rFonts w:ascii="Times New Roman" w:hAnsi="Times New Roman" w:cs="Times New Roman"/>
          <w:noProof/>
        </w:rPr>
        <w:t>ë</w:t>
      </w:r>
      <w:r w:rsidRPr="00051667">
        <w:rPr>
          <w:rFonts w:ascii="Times New Roman" w:hAnsi="Times New Roman" w:cs="Times New Roman"/>
          <w:noProof/>
        </w:rPr>
        <w:t xml:space="preserve"> drejte t</w:t>
      </w:r>
      <w:r w:rsidR="00665016" w:rsidRPr="00051667">
        <w:rPr>
          <w:rFonts w:ascii="Times New Roman" w:hAnsi="Times New Roman" w:cs="Times New Roman"/>
          <w:noProof/>
        </w:rPr>
        <w:t>ë</w:t>
      </w:r>
      <w:r w:rsidRPr="00051667">
        <w:rPr>
          <w:rFonts w:ascii="Times New Roman" w:hAnsi="Times New Roman" w:cs="Times New Roman"/>
          <w:noProof/>
        </w:rPr>
        <w:t xml:space="preserve"> cilat mbartin potenc</w:t>
      </w:r>
      <w:r w:rsidR="00C020F7" w:rsidRPr="00051667">
        <w:rPr>
          <w:rFonts w:ascii="Times New Roman" w:hAnsi="Times New Roman" w:cs="Times New Roman"/>
          <w:noProof/>
        </w:rPr>
        <w:t>i</w:t>
      </w:r>
      <w:r w:rsidRPr="00051667">
        <w:rPr>
          <w:rFonts w:ascii="Times New Roman" w:hAnsi="Times New Roman" w:cs="Times New Roman"/>
          <w:noProof/>
        </w:rPr>
        <w:t>alin p</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sjell</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rfitime t</w:t>
      </w:r>
      <w:r w:rsidR="00665016" w:rsidRPr="00051667">
        <w:rPr>
          <w:rFonts w:ascii="Times New Roman" w:hAnsi="Times New Roman" w:cs="Times New Roman"/>
          <w:noProof/>
        </w:rPr>
        <w:t>ë</w:t>
      </w:r>
      <w:r w:rsidRPr="00051667">
        <w:rPr>
          <w:rFonts w:ascii="Times New Roman" w:hAnsi="Times New Roman" w:cs="Times New Roman"/>
          <w:noProof/>
        </w:rPr>
        <w:t xml:space="preserve"> konsiderueshme p</w:t>
      </w:r>
      <w:r w:rsidR="00665016" w:rsidRPr="00051667">
        <w:rPr>
          <w:rFonts w:ascii="Times New Roman" w:hAnsi="Times New Roman" w:cs="Times New Roman"/>
          <w:noProof/>
        </w:rPr>
        <w:t>ë</w:t>
      </w:r>
      <w:r w:rsidRPr="00051667">
        <w:rPr>
          <w:rFonts w:ascii="Times New Roman" w:hAnsi="Times New Roman" w:cs="Times New Roman"/>
          <w:noProof/>
        </w:rPr>
        <w:t>r pjes</w:t>
      </w:r>
      <w:r w:rsidR="00665016" w:rsidRPr="00051667">
        <w:rPr>
          <w:rFonts w:ascii="Times New Roman" w:hAnsi="Times New Roman" w:cs="Times New Roman"/>
          <w:noProof/>
        </w:rPr>
        <w:t>ë</w:t>
      </w:r>
      <w:r w:rsidRPr="00051667">
        <w:rPr>
          <w:rFonts w:ascii="Times New Roman" w:hAnsi="Times New Roman" w:cs="Times New Roman"/>
          <w:noProof/>
        </w:rPr>
        <w:t>marr</w:t>
      </w:r>
      <w:r w:rsidR="00665016" w:rsidRPr="00051667">
        <w:rPr>
          <w:rFonts w:ascii="Times New Roman" w:hAnsi="Times New Roman" w:cs="Times New Roman"/>
          <w:noProof/>
        </w:rPr>
        <w:t>ë</w:t>
      </w:r>
      <w:r w:rsidRPr="00051667">
        <w:rPr>
          <w:rFonts w:ascii="Times New Roman" w:hAnsi="Times New Roman" w:cs="Times New Roman"/>
          <w:noProof/>
        </w:rPr>
        <w:t>sit</w:t>
      </w:r>
      <w:r w:rsidR="006B7DBD" w:rsidRPr="00051667">
        <w:rPr>
          <w:rFonts w:ascii="Times New Roman" w:hAnsi="Times New Roman" w:cs="Times New Roman"/>
          <w:noProof/>
        </w:rPr>
        <w:t xml:space="preserve"> </w:t>
      </w:r>
      <w:r w:rsidRPr="00051667">
        <w:rPr>
          <w:rFonts w:ascii="Times New Roman" w:hAnsi="Times New Roman" w:cs="Times New Roman"/>
          <w:noProof/>
        </w:rPr>
        <w:t>e tregjeve financiare, p</w:t>
      </w:r>
      <w:r w:rsidR="00665016" w:rsidRPr="00051667">
        <w:rPr>
          <w:rFonts w:ascii="Times New Roman" w:hAnsi="Times New Roman" w:cs="Times New Roman"/>
          <w:noProof/>
        </w:rPr>
        <w:t>ë</w:t>
      </w:r>
      <w:r w:rsidRPr="00051667">
        <w:rPr>
          <w:rFonts w:ascii="Times New Roman" w:hAnsi="Times New Roman" w:cs="Times New Roman"/>
          <w:noProof/>
        </w:rPr>
        <w:t>rfshir</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tu investitor</w:t>
      </w:r>
      <w:r w:rsidR="00665016" w:rsidRPr="00051667">
        <w:rPr>
          <w:rFonts w:ascii="Times New Roman" w:hAnsi="Times New Roman" w:cs="Times New Roman"/>
          <w:noProof/>
        </w:rPr>
        <w:t>ë</w:t>
      </w:r>
      <w:r w:rsidRPr="00051667">
        <w:rPr>
          <w:rFonts w:ascii="Times New Roman" w:hAnsi="Times New Roman" w:cs="Times New Roman"/>
          <w:noProof/>
        </w:rPr>
        <w:t>t jo-profesionist</w:t>
      </w:r>
      <w:r w:rsidR="00665016" w:rsidRPr="00051667">
        <w:rPr>
          <w:rFonts w:ascii="Times New Roman" w:hAnsi="Times New Roman" w:cs="Times New Roman"/>
          <w:noProof/>
        </w:rPr>
        <w:t>ë</w:t>
      </w:r>
      <w:r w:rsidRPr="00051667">
        <w:rPr>
          <w:rFonts w:ascii="Times New Roman" w:hAnsi="Times New Roman" w:cs="Times New Roman"/>
          <w:noProof/>
        </w:rPr>
        <w:t xml:space="preserve"> t</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tyre tregjeve. Duke</w:t>
      </w:r>
      <w:r w:rsidR="00665016" w:rsidRPr="00051667">
        <w:rPr>
          <w:rFonts w:ascii="Times New Roman" w:hAnsi="Times New Roman" w:cs="Times New Roman"/>
          <w:noProof/>
        </w:rPr>
        <w:t xml:space="preserve"> thjeshtuar proceset e grumbullimit të kapitalit dhe rritjes së konkurencës në këtë sektor, kripto-asetet mund të mundësojnë mënyra më gjithëpërfshirëse financimi për shoqëritë e vogla dhe të mesme (SME). Në rastet kur ato përdoren si mjet pagese, përdorimi kripto-aseteve mund të rezultojë në pagesa më të lira, më të shpejta dhe më efiçente,</w:t>
      </w:r>
      <w:r w:rsidR="000A0378" w:rsidRPr="00051667">
        <w:rPr>
          <w:rFonts w:ascii="Times New Roman" w:hAnsi="Times New Roman" w:cs="Times New Roman"/>
          <w:noProof/>
        </w:rPr>
        <w:t xml:space="preserve"> </w:t>
      </w:r>
      <w:r w:rsidR="00665016" w:rsidRPr="00051667">
        <w:rPr>
          <w:rFonts w:ascii="Times New Roman" w:hAnsi="Times New Roman" w:cs="Times New Roman"/>
          <w:noProof/>
        </w:rPr>
        <w:t>veçanërisht për sa i përket pagesave ndërkufitare, si rezultat i uljes së numrit të nd</w:t>
      </w:r>
      <w:r w:rsidR="006B7DBD" w:rsidRPr="00051667">
        <w:rPr>
          <w:rFonts w:ascii="Times New Roman" w:hAnsi="Times New Roman" w:cs="Times New Roman"/>
          <w:noProof/>
        </w:rPr>
        <w:t>ë</w:t>
      </w:r>
      <w:r w:rsidR="00665016" w:rsidRPr="00051667">
        <w:rPr>
          <w:rFonts w:ascii="Times New Roman" w:hAnsi="Times New Roman" w:cs="Times New Roman"/>
          <w:noProof/>
        </w:rPr>
        <w:t>rmjet</w:t>
      </w:r>
      <w:r w:rsidR="00C020F7" w:rsidRPr="00051667">
        <w:rPr>
          <w:rFonts w:ascii="Times New Roman" w:hAnsi="Times New Roman" w:cs="Times New Roman"/>
          <w:noProof/>
        </w:rPr>
        <w:t>ë</w:t>
      </w:r>
      <w:r w:rsidR="00665016" w:rsidRPr="00051667">
        <w:rPr>
          <w:rFonts w:ascii="Times New Roman" w:hAnsi="Times New Roman" w:cs="Times New Roman"/>
          <w:noProof/>
        </w:rPr>
        <w:t xml:space="preserve">sve të përfshirë në transaksion. </w:t>
      </w:r>
      <w:r w:rsidRPr="00051667">
        <w:rPr>
          <w:rFonts w:ascii="Times New Roman" w:hAnsi="Times New Roman" w:cs="Times New Roman"/>
          <w:noProof/>
        </w:rPr>
        <w:t xml:space="preserve"> </w:t>
      </w:r>
    </w:p>
    <w:p w14:paraId="7BB65FB6" w14:textId="77777777" w:rsidR="00C42FB6" w:rsidRPr="00051667" w:rsidRDefault="00C42FB6" w:rsidP="00051667">
      <w:pPr>
        <w:pStyle w:val="ListParagraph"/>
        <w:spacing w:after="0" w:line="276" w:lineRule="auto"/>
        <w:ind w:left="0"/>
        <w:jc w:val="both"/>
        <w:rPr>
          <w:rFonts w:ascii="Times New Roman" w:hAnsi="Times New Roman" w:cs="Times New Roman"/>
          <w:noProof/>
        </w:rPr>
      </w:pPr>
    </w:p>
    <w:p w14:paraId="4F0862ED" w14:textId="41E49F64" w:rsidR="006B7DBD" w:rsidRPr="00051667" w:rsidRDefault="006B7DBD" w:rsidP="00051667">
      <w:pPr>
        <w:pStyle w:val="ListParagraph"/>
        <w:spacing w:after="0" w:line="276" w:lineRule="auto"/>
        <w:ind w:left="0"/>
        <w:jc w:val="both"/>
        <w:rPr>
          <w:rFonts w:ascii="Times New Roman" w:hAnsi="Times New Roman" w:cs="Times New Roman"/>
          <w:noProof/>
        </w:rPr>
      </w:pPr>
      <w:r w:rsidRPr="00051667">
        <w:rPr>
          <w:rFonts w:ascii="Times New Roman" w:hAnsi="Times New Roman" w:cs="Times New Roman"/>
          <w:noProof/>
        </w:rPr>
        <w:t>Ndonëse tregjet e kripto-aseteve aktualisht janë të vogla në madhësi dhe nuk paraqesin një kërcënim për stabilitetin financiar, ekziston mundësia që disa lloje të kripto aseteve që kanë për qëllim të stabilizojnë çmimin duke e fiksuar vlerën e kripto asetit në raport me një aseti specifik ose të një shporte të aseteve,  në të ardhmen të adoptohen gjerësisht nga klientët jo-profesionistë dhe një zhvillim i tillë mund të rriste sfidat për sa u përket stabilitetit financiar, operimit të sistemeve të pagesave, zbatimit të politikave monetare dhe sovranitetit monetar.</w:t>
      </w:r>
    </w:p>
    <w:p w14:paraId="0FC7F4F1" w14:textId="77777777" w:rsidR="006B7DBD" w:rsidRPr="00051667" w:rsidRDefault="006B7DBD" w:rsidP="00051667">
      <w:pPr>
        <w:spacing w:after="0" w:line="276" w:lineRule="auto"/>
        <w:jc w:val="both"/>
        <w:rPr>
          <w:rFonts w:ascii="Times New Roman" w:hAnsi="Times New Roman" w:cs="Times New Roman"/>
          <w:noProof/>
        </w:rPr>
      </w:pPr>
    </w:p>
    <w:p w14:paraId="050C8909" w14:textId="0F80EE80" w:rsidR="006B7DBD" w:rsidRPr="00051667" w:rsidRDefault="006B7DBD" w:rsidP="00051667">
      <w:pPr>
        <w:spacing w:after="0" w:line="276" w:lineRule="auto"/>
        <w:contextualSpacing/>
        <w:jc w:val="both"/>
        <w:rPr>
          <w:rFonts w:ascii="Times New Roman" w:hAnsi="Times New Roman" w:cs="Times New Roman"/>
          <w:lang w:val="sq"/>
        </w:rPr>
      </w:pPr>
      <w:r w:rsidRPr="00051667">
        <w:rPr>
          <w:rFonts w:ascii="Times New Roman" w:hAnsi="Times New Roman" w:cs="Times New Roman"/>
          <w:lang w:val="sq"/>
        </w:rPr>
        <w:t xml:space="preserve">Hartimi i një kornize ligjore për </w:t>
      </w:r>
      <w:proofErr w:type="spellStart"/>
      <w:r w:rsidRPr="00051667">
        <w:rPr>
          <w:rFonts w:ascii="Times New Roman" w:hAnsi="Times New Roman" w:cs="Times New Roman"/>
          <w:lang w:val="sq"/>
        </w:rPr>
        <w:t>kripto-asetet</w:t>
      </w:r>
      <w:proofErr w:type="spellEnd"/>
      <w:r w:rsidRPr="00051667">
        <w:rPr>
          <w:rFonts w:ascii="Times New Roman" w:hAnsi="Times New Roman" w:cs="Times New Roman"/>
          <w:lang w:val="sq"/>
        </w:rPr>
        <w:t xml:space="preserve"> </w:t>
      </w:r>
      <w:r w:rsidR="00602409" w:rsidRPr="00051667">
        <w:rPr>
          <w:rFonts w:ascii="Times New Roman" w:hAnsi="Times New Roman" w:cs="Times New Roman"/>
          <w:lang w:val="sq"/>
        </w:rPr>
        <w:t>të</w:t>
      </w:r>
      <w:r w:rsidRPr="00051667">
        <w:rPr>
          <w:rFonts w:ascii="Times New Roman" w:hAnsi="Times New Roman" w:cs="Times New Roman"/>
          <w:lang w:val="sq"/>
        </w:rPr>
        <w:t xml:space="preserve"> unifikuar me atë të Bashkimit Evropian mbështe</w:t>
      </w:r>
      <w:r w:rsidR="001B2924" w:rsidRPr="00051667">
        <w:rPr>
          <w:rFonts w:ascii="Times New Roman" w:hAnsi="Times New Roman" w:cs="Times New Roman"/>
          <w:lang w:val="sq"/>
        </w:rPr>
        <w:t>t</w:t>
      </w:r>
      <w:r w:rsidRPr="00051667">
        <w:rPr>
          <w:rFonts w:ascii="Times New Roman" w:hAnsi="Times New Roman" w:cs="Times New Roman"/>
          <w:lang w:val="sq"/>
        </w:rPr>
        <w:t xml:space="preserve"> inovacionin dhe konkurrencën e drejtë duke siguruar një nivel të lartë mbrojtjeje të klientëve jo-profesionistë dhe integritetin​ e tregjeve të </w:t>
      </w:r>
      <w:proofErr w:type="spellStart"/>
      <w:r w:rsidRPr="00051667">
        <w:rPr>
          <w:rFonts w:ascii="Times New Roman" w:hAnsi="Times New Roman" w:cs="Times New Roman"/>
          <w:lang w:val="sq"/>
        </w:rPr>
        <w:t>kripto-aseteve</w:t>
      </w:r>
      <w:proofErr w:type="spellEnd"/>
      <w:r w:rsidRPr="00051667">
        <w:rPr>
          <w:rFonts w:ascii="Times New Roman" w:hAnsi="Times New Roman" w:cs="Times New Roman"/>
          <w:lang w:val="sq"/>
        </w:rPr>
        <w:t xml:space="preserve">. </w:t>
      </w:r>
    </w:p>
    <w:p w14:paraId="4CF1DCAF" w14:textId="77777777" w:rsidR="006B7DBD" w:rsidRPr="00051667" w:rsidRDefault="006B7DBD" w:rsidP="00051667">
      <w:pPr>
        <w:spacing w:after="0" w:line="276" w:lineRule="auto"/>
        <w:contextualSpacing/>
        <w:jc w:val="both"/>
        <w:rPr>
          <w:rFonts w:ascii="Times New Roman" w:hAnsi="Times New Roman" w:cs="Times New Roman"/>
          <w:lang w:val="sq"/>
        </w:rPr>
      </w:pPr>
    </w:p>
    <w:p w14:paraId="75AC0B2D" w14:textId="604A617D" w:rsidR="006B7DBD" w:rsidRPr="00051667" w:rsidRDefault="006B7DBD" w:rsidP="00051667">
      <w:pPr>
        <w:spacing w:after="0" w:line="276" w:lineRule="auto"/>
        <w:contextualSpacing/>
        <w:jc w:val="both"/>
        <w:rPr>
          <w:rFonts w:ascii="Times New Roman" w:hAnsi="Times New Roman" w:cs="Times New Roman"/>
          <w:lang w:val="sq"/>
        </w:rPr>
      </w:pPr>
      <w:r w:rsidRPr="00051667">
        <w:rPr>
          <w:rFonts w:ascii="Times New Roman" w:hAnsi="Times New Roman" w:cs="Times New Roman"/>
          <w:lang w:val="sq"/>
        </w:rPr>
        <w:t xml:space="preserve">Një kornizë e qartë </w:t>
      </w:r>
      <w:r w:rsidR="00596E2C" w:rsidRPr="00051667">
        <w:rPr>
          <w:rFonts w:ascii="Times New Roman" w:hAnsi="Times New Roman" w:cs="Times New Roman"/>
          <w:lang w:val="sq"/>
        </w:rPr>
        <w:t xml:space="preserve">ligjore </w:t>
      </w:r>
      <w:r w:rsidR="004D21BC" w:rsidRPr="00051667">
        <w:rPr>
          <w:rFonts w:ascii="Times New Roman" w:hAnsi="Times New Roman" w:cs="Times New Roman"/>
          <w:lang w:val="sq"/>
        </w:rPr>
        <w:t xml:space="preserve">u </w:t>
      </w:r>
      <w:r w:rsidRPr="00051667">
        <w:rPr>
          <w:rFonts w:ascii="Times New Roman" w:hAnsi="Times New Roman" w:cs="Times New Roman"/>
          <w:lang w:val="sq"/>
        </w:rPr>
        <w:t>mundëso</w:t>
      </w:r>
      <w:r w:rsidR="004D21BC" w:rsidRPr="00051667">
        <w:rPr>
          <w:rFonts w:ascii="Times New Roman" w:hAnsi="Times New Roman" w:cs="Times New Roman"/>
          <w:lang w:val="sq"/>
        </w:rPr>
        <w:t>n</w:t>
      </w:r>
      <w:r w:rsidRPr="00051667">
        <w:rPr>
          <w:rFonts w:ascii="Times New Roman" w:hAnsi="Times New Roman" w:cs="Times New Roman"/>
          <w:lang w:val="sq"/>
        </w:rPr>
        <w:t xml:space="preserve"> ofruesve të shërbimeve të </w:t>
      </w:r>
      <w:proofErr w:type="spellStart"/>
      <w:r w:rsidRPr="00051667">
        <w:rPr>
          <w:rFonts w:ascii="Times New Roman" w:hAnsi="Times New Roman" w:cs="Times New Roman"/>
          <w:lang w:val="sq"/>
        </w:rPr>
        <w:t>kripto-aseteve</w:t>
      </w:r>
      <w:proofErr w:type="spellEnd"/>
      <w:r w:rsidRPr="00051667">
        <w:rPr>
          <w:rFonts w:ascii="Times New Roman" w:hAnsi="Times New Roman" w:cs="Times New Roman"/>
          <w:lang w:val="sq"/>
        </w:rPr>
        <w:t xml:space="preserve"> të zgjerojnë veprimtaritë e tyre mbi baza ndërkufitare dhe </w:t>
      </w:r>
      <w:r w:rsidR="004D21BC" w:rsidRPr="00051667">
        <w:rPr>
          <w:rFonts w:ascii="Times New Roman" w:hAnsi="Times New Roman" w:cs="Times New Roman"/>
          <w:lang w:val="sq"/>
        </w:rPr>
        <w:t>u</w:t>
      </w:r>
      <w:r w:rsidRPr="00051667">
        <w:rPr>
          <w:rFonts w:ascii="Times New Roman" w:hAnsi="Times New Roman" w:cs="Times New Roman"/>
          <w:lang w:val="sq"/>
        </w:rPr>
        <w:t xml:space="preserve"> lehtëso</w:t>
      </w:r>
      <w:r w:rsidR="004D21BC" w:rsidRPr="00051667">
        <w:rPr>
          <w:rFonts w:ascii="Times New Roman" w:hAnsi="Times New Roman" w:cs="Times New Roman"/>
          <w:lang w:val="sq"/>
        </w:rPr>
        <w:t>n</w:t>
      </w:r>
      <w:r w:rsidRPr="00051667">
        <w:rPr>
          <w:rFonts w:ascii="Times New Roman" w:hAnsi="Times New Roman" w:cs="Times New Roman"/>
          <w:lang w:val="sq"/>
        </w:rPr>
        <w:t xml:space="preserve"> atyre qasjen për shërbime bankare. </w:t>
      </w:r>
      <w:r w:rsidR="00D3748C" w:rsidRPr="00051667">
        <w:rPr>
          <w:rFonts w:ascii="Times New Roman" w:hAnsi="Times New Roman" w:cs="Times New Roman"/>
          <w:lang w:val="sq"/>
        </w:rPr>
        <w:t>Projek</w:t>
      </w:r>
      <w:r w:rsidR="000449ED" w:rsidRPr="00051667">
        <w:rPr>
          <w:rFonts w:ascii="Times New Roman" w:hAnsi="Times New Roman" w:cs="Times New Roman"/>
          <w:lang w:val="sq"/>
        </w:rPr>
        <w:t>t</w:t>
      </w:r>
      <w:r w:rsidR="00D3748C" w:rsidRPr="00051667">
        <w:rPr>
          <w:rFonts w:ascii="Times New Roman" w:hAnsi="Times New Roman" w:cs="Times New Roman"/>
          <w:lang w:val="sq"/>
        </w:rPr>
        <w:t xml:space="preserve">ligji “Për tregjet e </w:t>
      </w:r>
      <w:proofErr w:type="spellStart"/>
      <w:r w:rsidR="00D3748C" w:rsidRPr="00051667">
        <w:rPr>
          <w:rFonts w:ascii="Times New Roman" w:hAnsi="Times New Roman" w:cs="Times New Roman"/>
          <w:lang w:val="sq"/>
        </w:rPr>
        <w:t>kripto-aseteve</w:t>
      </w:r>
      <w:proofErr w:type="spellEnd"/>
      <w:r w:rsidR="00D3748C" w:rsidRPr="00051667">
        <w:rPr>
          <w:rFonts w:ascii="Times New Roman" w:hAnsi="Times New Roman" w:cs="Times New Roman"/>
          <w:lang w:val="sq"/>
        </w:rPr>
        <w:t xml:space="preserve">” </w:t>
      </w:r>
      <w:r w:rsidR="00F223A2" w:rsidRPr="00051667">
        <w:rPr>
          <w:rFonts w:ascii="Times New Roman" w:hAnsi="Times New Roman" w:cs="Times New Roman"/>
          <w:lang w:val="sq"/>
        </w:rPr>
        <w:t>si pasoj</w:t>
      </w:r>
      <w:r w:rsidR="00124914" w:rsidRPr="00051667">
        <w:rPr>
          <w:rFonts w:ascii="Times New Roman" w:hAnsi="Times New Roman" w:cs="Times New Roman"/>
          <w:lang w:val="sq"/>
        </w:rPr>
        <w:t>ë</w:t>
      </w:r>
      <w:r w:rsidR="00F223A2" w:rsidRPr="00051667">
        <w:rPr>
          <w:rFonts w:ascii="Times New Roman" w:hAnsi="Times New Roman" w:cs="Times New Roman"/>
          <w:lang w:val="sq"/>
        </w:rPr>
        <w:t xml:space="preserve"> e </w:t>
      </w:r>
      <w:r w:rsidR="00FF2DD0" w:rsidRPr="00051667">
        <w:rPr>
          <w:rFonts w:ascii="Times New Roman" w:hAnsi="Times New Roman" w:cs="Times New Roman"/>
          <w:lang w:val="sq"/>
        </w:rPr>
        <w:t>përshtatjes</w:t>
      </w:r>
      <w:r w:rsidR="00F223A2" w:rsidRPr="00051667">
        <w:rPr>
          <w:rFonts w:ascii="Times New Roman" w:hAnsi="Times New Roman" w:cs="Times New Roman"/>
          <w:lang w:val="sq"/>
        </w:rPr>
        <w:t xml:space="preserve"> me </w:t>
      </w:r>
      <w:r w:rsidR="00A407A5" w:rsidRPr="00051667">
        <w:rPr>
          <w:rFonts w:ascii="Times New Roman" w:hAnsi="Times New Roman" w:cs="Times New Roman"/>
          <w:lang w:val="sq"/>
        </w:rPr>
        <w:t>standardet</w:t>
      </w:r>
      <w:r w:rsidR="00F223A2" w:rsidRPr="00051667">
        <w:rPr>
          <w:rFonts w:ascii="Times New Roman" w:hAnsi="Times New Roman" w:cs="Times New Roman"/>
          <w:lang w:val="sq"/>
        </w:rPr>
        <w:t xml:space="preserve"> dhe rregullat e </w:t>
      </w:r>
      <w:r w:rsidRPr="00051667">
        <w:rPr>
          <w:rFonts w:ascii="Times New Roman" w:hAnsi="Times New Roman" w:cs="Times New Roman"/>
          <w:lang w:val="sq"/>
        </w:rPr>
        <w:t xml:space="preserve">kornizë e përbashkët </w:t>
      </w:r>
      <w:r w:rsidR="0081712F" w:rsidRPr="00051667">
        <w:rPr>
          <w:rFonts w:ascii="Times New Roman" w:hAnsi="Times New Roman" w:cs="Times New Roman"/>
          <w:lang w:val="sq"/>
        </w:rPr>
        <w:t>t</w:t>
      </w:r>
      <w:r w:rsidR="00124914" w:rsidRPr="00051667">
        <w:rPr>
          <w:rFonts w:ascii="Times New Roman" w:hAnsi="Times New Roman" w:cs="Times New Roman"/>
          <w:lang w:val="sq"/>
        </w:rPr>
        <w:t>ë</w:t>
      </w:r>
      <w:r w:rsidRPr="00051667">
        <w:rPr>
          <w:rFonts w:ascii="Times New Roman" w:hAnsi="Times New Roman" w:cs="Times New Roman"/>
          <w:lang w:val="sq"/>
        </w:rPr>
        <w:t xml:space="preserve"> Bashkimit Evropian </w:t>
      </w:r>
      <w:r w:rsidR="0081712F" w:rsidRPr="00051667">
        <w:rPr>
          <w:rFonts w:ascii="Times New Roman" w:hAnsi="Times New Roman" w:cs="Times New Roman"/>
          <w:lang w:val="sq"/>
        </w:rPr>
        <w:t>siguron</w:t>
      </w:r>
      <w:r w:rsidRPr="00051667">
        <w:rPr>
          <w:rFonts w:ascii="Times New Roman" w:hAnsi="Times New Roman" w:cs="Times New Roman"/>
          <w:lang w:val="sq"/>
        </w:rPr>
        <w:t xml:space="preserve"> një trajtim proporcional të emetuesve të </w:t>
      </w:r>
      <w:proofErr w:type="spellStart"/>
      <w:r w:rsidRPr="00051667">
        <w:rPr>
          <w:rFonts w:ascii="Times New Roman" w:hAnsi="Times New Roman" w:cs="Times New Roman"/>
          <w:lang w:val="sq"/>
        </w:rPr>
        <w:t>kripto</w:t>
      </w:r>
      <w:proofErr w:type="spellEnd"/>
      <w:r w:rsidRPr="00051667">
        <w:rPr>
          <w:rFonts w:ascii="Times New Roman" w:hAnsi="Times New Roman" w:cs="Times New Roman"/>
          <w:lang w:val="sq"/>
        </w:rPr>
        <w:t xml:space="preserve"> -</w:t>
      </w:r>
      <w:proofErr w:type="spellStart"/>
      <w:r w:rsidRPr="00051667">
        <w:rPr>
          <w:rFonts w:ascii="Times New Roman" w:hAnsi="Times New Roman" w:cs="Times New Roman"/>
          <w:lang w:val="sq"/>
        </w:rPr>
        <w:t>aseteve</w:t>
      </w:r>
      <w:proofErr w:type="spellEnd"/>
      <w:r w:rsidRPr="00051667">
        <w:rPr>
          <w:rFonts w:ascii="Times New Roman" w:hAnsi="Times New Roman" w:cs="Times New Roman"/>
          <w:lang w:val="sq"/>
        </w:rPr>
        <w:t xml:space="preserve"> dhe ofruesve të shërbimit të </w:t>
      </w:r>
      <w:proofErr w:type="spellStart"/>
      <w:r w:rsidRPr="00051667">
        <w:rPr>
          <w:rFonts w:ascii="Times New Roman" w:hAnsi="Times New Roman" w:cs="Times New Roman"/>
          <w:lang w:val="sq"/>
        </w:rPr>
        <w:t>kripto-aseteve</w:t>
      </w:r>
      <w:proofErr w:type="spellEnd"/>
      <w:r w:rsidRPr="00051667">
        <w:rPr>
          <w:rFonts w:ascii="Times New Roman" w:hAnsi="Times New Roman" w:cs="Times New Roman"/>
          <w:lang w:val="sq"/>
        </w:rPr>
        <w:t xml:space="preserve">, duke lejuar për </w:t>
      </w:r>
      <w:proofErr w:type="spellStart"/>
      <w:r w:rsidRPr="00051667">
        <w:rPr>
          <w:rFonts w:ascii="Times New Roman" w:hAnsi="Times New Roman" w:cs="Times New Roman"/>
          <w:lang w:val="sq"/>
        </w:rPr>
        <w:t>oportunite</w:t>
      </w:r>
      <w:proofErr w:type="spellEnd"/>
      <w:r w:rsidRPr="00051667">
        <w:rPr>
          <w:rFonts w:ascii="Times New Roman" w:hAnsi="Times New Roman" w:cs="Times New Roman"/>
          <w:lang w:val="sq"/>
        </w:rPr>
        <w:t xml:space="preserve"> të barabarta për hyrjen në treg si dhe për zhvillimin e ardhshëm të tregjeve të </w:t>
      </w:r>
      <w:proofErr w:type="spellStart"/>
      <w:r w:rsidRPr="00051667">
        <w:rPr>
          <w:rFonts w:ascii="Times New Roman" w:hAnsi="Times New Roman" w:cs="Times New Roman"/>
          <w:lang w:val="sq"/>
        </w:rPr>
        <w:t>kripto-aseteve</w:t>
      </w:r>
      <w:proofErr w:type="spellEnd"/>
      <w:r w:rsidRPr="00051667">
        <w:rPr>
          <w:rFonts w:ascii="Times New Roman" w:hAnsi="Times New Roman" w:cs="Times New Roman"/>
          <w:lang w:val="sq"/>
        </w:rPr>
        <w:t xml:space="preserve">. </w:t>
      </w:r>
    </w:p>
    <w:p w14:paraId="6435A2E0" w14:textId="77777777" w:rsidR="006B7DBD" w:rsidRPr="00051667" w:rsidRDefault="006B7DBD" w:rsidP="00051667">
      <w:pPr>
        <w:spacing w:after="0" w:line="276" w:lineRule="auto"/>
        <w:contextualSpacing/>
        <w:jc w:val="both"/>
        <w:rPr>
          <w:rFonts w:ascii="Times New Roman" w:hAnsi="Times New Roman" w:cs="Times New Roman"/>
          <w:lang w:val="sq"/>
        </w:rPr>
      </w:pPr>
    </w:p>
    <w:p w14:paraId="7E0EBCAB" w14:textId="6D51C11D" w:rsidR="00F003BF" w:rsidRDefault="00F003BF" w:rsidP="00051667">
      <w:pPr>
        <w:spacing w:after="0" w:line="276" w:lineRule="auto"/>
        <w:jc w:val="both"/>
        <w:rPr>
          <w:rFonts w:ascii="Times New Roman" w:hAnsi="Times New Roman" w:cs="Times New Roman"/>
          <w:b/>
          <w:bCs/>
          <w:noProof/>
        </w:rPr>
      </w:pPr>
      <w:r w:rsidRPr="00F003BF">
        <w:rPr>
          <w:rFonts w:ascii="Times New Roman" w:hAnsi="Times New Roman" w:cs="Times New Roman"/>
          <w:b/>
          <w:bCs/>
          <w:noProof/>
        </w:rPr>
        <w:t>Krahasimi midis legjislacionit aktual për kripto-asetet dhe rregullores BE 2023/1114 “Markets in Crypto-Assets</w:t>
      </w:r>
    </w:p>
    <w:p w14:paraId="2F345373" w14:textId="77777777" w:rsidR="00F003BF" w:rsidRPr="00F003BF" w:rsidRDefault="00F003BF" w:rsidP="00051667">
      <w:pPr>
        <w:spacing w:after="0" w:line="276" w:lineRule="auto"/>
        <w:jc w:val="both"/>
        <w:rPr>
          <w:rFonts w:ascii="Times New Roman" w:hAnsi="Times New Roman" w:cs="Times New Roman"/>
          <w:b/>
          <w:bCs/>
          <w:noProof/>
        </w:rPr>
      </w:pPr>
    </w:p>
    <w:p w14:paraId="676746B7" w14:textId="13FE2BFE" w:rsidR="00051667" w:rsidRPr="00051667" w:rsidRDefault="00713B1A"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Aktualisht k</w:t>
      </w:r>
      <w:r w:rsidR="006B1FDD" w:rsidRPr="00051667">
        <w:rPr>
          <w:rFonts w:ascii="Times New Roman" w:hAnsi="Times New Roman" w:cs="Times New Roman"/>
          <w:noProof/>
        </w:rPr>
        <w:t>uadri ligjor për</w:t>
      </w:r>
      <w:r w:rsidR="00F003BF">
        <w:rPr>
          <w:rFonts w:ascii="Times New Roman" w:hAnsi="Times New Roman" w:cs="Times New Roman"/>
          <w:noProof/>
        </w:rPr>
        <w:t xml:space="preserve"> ementimin dhe</w:t>
      </w:r>
      <w:r w:rsidR="006B1FDD" w:rsidRPr="00051667">
        <w:rPr>
          <w:rFonts w:ascii="Times New Roman" w:hAnsi="Times New Roman" w:cs="Times New Roman"/>
          <w:noProof/>
        </w:rPr>
        <w:t xml:space="preserve"> ofrimin e shërbimeve të lidhura me monedhat virtuale/token digjital n</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 Republik</w:t>
      </w:r>
      <w:r w:rsidR="00665016" w:rsidRPr="00051667">
        <w:rPr>
          <w:rFonts w:ascii="Times New Roman" w:hAnsi="Times New Roman" w:cs="Times New Roman"/>
          <w:noProof/>
        </w:rPr>
        <w:t>ë</w:t>
      </w:r>
      <w:r w:rsidR="006B1FDD" w:rsidRPr="00051667">
        <w:rPr>
          <w:rFonts w:ascii="Times New Roman" w:hAnsi="Times New Roman" w:cs="Times New Roman"/>
          <w:noProof/>
        </w:rPr>
        <w:t>n e Shqip</w:t>
      </w:r>
      <w:r w:rsidR="00665016" w:rsidRPr="00051667">
        <w:rPr>
          <w:rFonts w:ascii="Times New Roman" w:hAnsi="Times New Roman" w:cs="Times New Roman"/>
          <w:noProof/>
        </w:rPr>
        <w:t>ë</w:t>
      </w:r>
      <w:r w:rsidR="006B1FDD" w:rsidRPr="00051667">
        <w:rPr>
          <w:rFonts w:ascii="Times New Roman" w:hAnsi="Times New Roman" w:cs="Times New Roman"/>
          <w:noProof/>
        </w:rPr>
        <w:t>ris</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 përbëhet nga ligji </w:t>
      </w:r>
      <w:r w:rsidR="00DA6728" w:rsidRPr="00051667">
        <w:rPr>
          <w:rFonts w:ascii="Times New Roman" w:hAnsi="Times New Roman" w:cs="Times New Roman"/>
          <w:noProof/>
        </w:rPr>
        <w:t xml:space="preserve">nr. </w:t>
      </w:r>
      <w:r w:rsidR="006B1FDD" w:rsidRPr="00051667">
        <w:rPr>
          <w:rFonts w:ascii="Times New Roman" w:hAnsi="Times New Roman" w:cs="Times New Roman"/>
          <w:noProof/>
        </w:rPr>
        <w:t>66/2020 “</w:t>
      </w:r>
      <w:r w:rsidR="006B1FDD" w:rsidRPr="00051667">
        <w:rPr>
          <w:rFonts w:ascii="Times New Roman" w:hAnsi="Times New Roman" w:cs="Times New Roman"/>
          <w:i/>
          <w:iCs/>
          <w:noProof/>
        </w:rPr>
        <w:t>Për tregjet financiare të bazuar në teknologjinë e regjistrave të shpërndarë</w:t>
      </w:r>
      <w:r w:rsidR="006B1FDD" w:rsidRPr="00051667">
        <w:rPr>
          <w:rFonts w:ascii="Times New Roman" w:hAnsi="Times New Roman" w:cs="Times New Roman"/>
          <w:noProof/>
        </w:rPr>
        <w:t xml:space="preserve">”, i cili ka hyrë në fuqi më 1 </w:t>
      </w:r>
      <w:r w:rsidR="00C020F7" w:rsidRPr="00051667">
        <w:rPr>
          <w:rFonts w:ascii="Times New Roman" w:hAnsi="Times New Roman" w:cs="Times New Roman"/>
          <w:noProof/>
        </w:rPr>
        <w:t>s</w:t>
      </w:r>
      <w:r w:rsidR="006B1FDD" w:rsidRPr="00051667">
        <w:rPr>
          <w:rFonts w:ascii="Times New Roman" w:hAnsi="Times New Roman" w:cs="Times New Roman"/>
          <w:noProof/>
        </w:rPr>
        <w:t>htator 2020 dhe ligji nr.</w:t>
      </w:r>
      <w:r w:rsidR="00DA6728" w:rsidRPr="00051667">
        <w:rPr>
          <w:rFonts w:ascii="Times New Roman" w:hAnsi="Times New Roman" w:cs="Times New Roman"/>
          <w:noProof/>
        </w:rPr>
        <w:t xml:space="preserve"> </w:t>
      </w:r>
      <w:r w:rsidR="006B1FDD" w:rsidRPr="00051667">
        <w:rPr>
          <w:rFonts w:ascii="Times New Roman" w:hAnsi="Times New Roman" w:cs="Times New Roman"/>
          <w:noProof/>
        </w:rPr>
        <w:t>9917, datë 19.5.2008 “</w:t>
      </w:r>
      <w:r w:rsidR="006B1FDD" w:rsidRPr="00051667">
        <w:rPr>
          <w:rFonts w:ascii="Times New Roman" w:hAnsi="Times New Roman" w:cs="Times New Roman"/>
          <w:i/>
          <w:iCs/>
          <w:noProof/>
        </w:rPr>
        <w:t>Për parandalimin e pastrimit të parave dhe financimit të terrorizmit</w:t>
      </w:r>
      <w:r w:rsidR="006B1FDD" w:rsidRPr="00051667">
        <w:rPr>
          <w:rFonts w:ascii="Times New Roman" w:hAnsi="Times New Roman" w:cs="Times New Roman"/>
          <w:noProof/>
        </w:rPr>
        <w:t xml:space="preserve">”(i ndryshuar). Ligji </w:t>
      </w:r>
      <w:r w:rsidR="00DA6728" w:rsidRPr="00051667">
        <w:rPr>
          <w:rFonts w:ascii="Times New Roman" w:hAnsi="Times New Roman" w:cs="Times New Roman"/>
          <w:noProof/>
        </w:rPr>
        <w:t xml:space="preserve">nr. </w:t>
      </w:r>
      <w:r w:rsidR="006B1FDD" w:rsidRPr="00051667">
        <w:rPr>
          <w:rFonts w:ascii="Times New Roman" w:hAnsi="Times New Roman" w:cs="Times New Roman"/>
          <w:noProof/>
        </w:rPr>
        <w:t xml:space="preserve">66/2020 rregullon kushtet për licencimin, monitorimin, mbikëqyrjen e subjekteve që ushtrojnë aktivitetin e shpërndarjes, tregtimit e ruajtjes së tokenëve digjitalë dhe/ose monedhave virtuale, të agjentit të tokenëve digjitalë, ofruesit të shërbimeve inovative dhe sipërmarrjes së automatizuar të investimeve kolektive. </w:t>
      </w:r>
    </w:p>
    <w:p w14:paraId="072DF1DF" w14:textId="77777777" w:rsidR="00F003BF" w:rsidRDefault="00F003BF" w:rsidP="00051667">
      <w:pPr>
        <w:spacing w:after="0" w:line="276" w:lineRule="auto"/>
        <w:jc w:val="both"/>
        <w:rPr>
          <w:rFonts w:ascii="Times New Roman" w:hAnsi="Times New Roman" w:cs="Times New Roman"/>
          <w:noProof/>
        </w:rPr>
      </w:pPr>
    </w:p>
    <w:p w14:paraId="79A344CF" w14:textId="05722624" w:rsidR="006B1FDD"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 xml:space="preserve">Ndonëse aktet nënligjore që mundësojnë plotësimin e kuadrit rregullator janë miratuar në vitin 2022, aktualisht pranë AMF nuk ka mbërritur asnjë kërkesë për licencim në kuadër të </w:t>
      </w:r>
      <w:r w:rsidR="009B3C11" w:rsidRPr="00051667">
        <w:rPr>
          <w:rFonts w:ascii="Times New Roman" w:hAnsi="Times New Roman" w:cs="Times New Roman"/>
          <w:noProof/>
        </w:rPr>
        <w:t>ligjit nr.</w:t>
      </w:r>
      <w:r w:rsidR="00DA6728" w:rsidRPr="00051667">
        <w:rPr>
          <w:rFonts w:ascii="Times New Roman" w:hAnsi="Times New Roman" w:cs="Times New Roman"/>
          <w:noProof/>
        </w:rPr>
        <w:t xml:space="preserve"> </w:t>
      </w:r>
      <w:r w:rsidR="009B3C11" w:rsidRPr="00051667">
        <w:rPr>
          <w:rFonts w:ascii="Times New Roman" w:hAnsi="Times New Roman" w:cs="Times New Roman"/>
          <w:noProof/>
        </w:rPr>
        <w:t>66/2020</w:t>
      </w:r>
      <w:r w:rsidRPr="00051667">
        <w:rPr>
          <w:rFonts w:ascii="Times New Roman" w:hAnsi="Times New Roman" w:cs="Times New Roman"/>
          <w:noProof/>
        </w:rPr>
        <w:t>, dhe rrjedhimisht nuk ka ende asnjë subjekt të licencuar që ushtron veprimtarinë e tij në tregjet financiare të bazuara në teknologjinë e regjistrave të shpërndarë.</w:t>
      </w:r>
    </w:p>
    <w:p w14:paraId="1456B050" w14:textId="77777777" w:rsidR="00051667" w:rsidRPr="00051667" w:rsidRDefault="00051667" w:rsidP="00051667">
      <w:pPr>
        <w:spacing w:after="0" w:line="276" w:lineRule="auto"/>
        <w:jc w:val="both"/>
        <w:rPr>
          <w:rFonts w:ascii="Times New Roman" w:hAnsi="Times New Roman" w:cs="Times New Roman"/>
          <w:noProof/>
        </w:rPr>
      </w:pPr>
    </w:p>
    <w:p w14:paraId="0793AB05" w14:textId="773EFAF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P</w:t>
      </w:r>
      <w:r w:rsidR="00665016" w:rsidRPr="00051667">
        <w:rPr>
          <w:rFonts w:ascii="Times New Roman" w:hAnsi="Times New Roman" w:cs="Times New Roman"/>
          <w:noProof/>
        </w:rPr>
        <w:t>ë</w:t>
      </w:r>
      <w:r w:rsidRPr="00051667">
        <w:rPr>
          <w:rFonts w:ascii="Times New Roman" w:hAnsi="Times New Roman" w:cs="Times New Roman"/>
          <w:noProof/>
        </w:rPr>
        <w:t>r m</w:t>
      </w:r>
      <w:r w:rsidR="00665016" w:rsidRPr="00051667">
        <w:rPr>
          <w:rFonts w:ascii="Times New Roman" w:hAnsi="Times New Roman" w:cs="Times New Roman"/>
          <w:noProof/>
        </w:rPr>
        <w:t>ë</w:t>
      </w:r>
      <w:r w:rsidRPr="00051667">
        <w:rPr>
          <w:rFonts w:ascii="Times New Roman" w:hAnsi="Times New Roman" w:cs="Times New Roman"/>
          <w:noProof/>
        </w:rPr>
        <w:t xml:space="preserve"> tep</w:t>
      </w:r>
      <w:r w:rsidR="00665016" w:rsidRPr="00051667">
        <w:rPr>
          <w:rFonts w:ascii="Times New Roman" w:hAnsi="Times New Roman" w:cs="Times New Roman"/>
          <w:noProof/>
        </w:rPr>
        <w:t>ë</w:t>
      </w:r>
      <w:r w:rsidRPr="00051667">
        <w:rPr>
          <w:rFonts w:ascii="Times New Roman" w:hAnsi="Times New Roman" w:cs="Times New Roman"/>
          <w:noProof/>
        </w:rPr>
        <w:t>r, veprimtari ose sh</w:t>
      </w:r>
      <w:r w:rsidR="00665016" w:rsidRPr="00051667">
        <w:rPr>
          <w:rFonts w:ascii="Times New Roman" w:hAnsi="Times New Roman" w:cs="Times New Roman"/>
          <w:noProof/>
        </w:rPr>
        <w:t>ë</w:t>
      </w:r>
      <w:r w:rsidRPr="00051667">
        <w:rPr>
          <w:rFonts w:ascii="Times New Roman" w:hAnsi="Times New Roman" w:cs="Times New Roman"/>
          <w:noProof/>
        </w:rPr>
        <w:t>rbime t</w:t>
      </w:r>
      <w:r w:rsidR="00665016" w:rsidRPr="00051667">
        <w:rPr>
          <w:rFonts w:ascii="Times New Roman" w:hAnsi="Times New Roman" w:cs="Times New Roman"/>
          <w:noProof/>
        </w:rPr>
        <w:t>ë</w:t>
      </w:r>
      <w:r w:rsidRPr="00051667">
        <w:rPr>
          <w:rFonts w:ascii="Times New Roman" w:hAnsi="Times New Roman" w:cs="Times New Roman"/>
          <w:noProof/>
        </w:rPr>
        <w:t xml:space="preserve"> tjera si emetimi i tokenave që synojnë të mbajnë një vlerë të qëndrueshme (stablecoins), marrja dhe transmetimi i urdhrave p</w:t>
      </w:r>
      <w:r w:rsidR="00665016" w:rsidRPr="00051667">
        <w:rPr>
          <w:rFonts w:ascii="Times New Roman" w:hAnsi="Times New Roman" w:cs="Times New Roman"/>
          <w:noProof/>
        </w:rPr>
        <w:t>ë</w:t>
      </w:r>
      <w:r w:rsidRPr="00051667">
        <w:rPr>
          <w:rFonts w:ascii="Times New Roman" w:hAnsi="Times New Roman" w:cs="Times New Roman"/>
          <w:noProof/>
        </w:rPr>
        <w:t>r kripto-asetet, ekzekutimi urdhrave p</w:t>
      </w:r>
      <w:r w:rsidR="00665016" w:rsidRPr="00051667">
        <w:rPr>
          <w:rFonts w:ascii="Times New Roman" w:hAnsi="Times New Roman" w:cs="Times New Roman"/>
          <w:noProof/>
        </w:rPr>
        <w:t>ë</w:t>
      </w:r>
      <w:r w:rsidRPr="00051667">
        <w:rPr>
          <w:rFonts w:ascii="Times New Roman" w:hAnsi="Times New Roman" w:cs="Times New Roman"/>
          <w:noProof/>
        </w:rPr>
        <w:t>r kripto-asetet, k</w:t>
      </w:r>
      <w:r w:rsidR="00665016" w:rsidRPr="00051667">
        <w:rPr>
          <w:rFonts w:ascii="Times New Roman" w:hAnsi="Times New Roman" w:cs="Times New Roman"/>
          <w:noProof/>
        </w:rPr>
        <w:t>ë</w:t>
      </w:r>
      <w:r w:rsidRPr="00051667">
        <w:rPr>
          <w:rFonts w:ascii="Times New Roman" w:hAnsi="Times New Roman" w:cs="Times New Roman"/>
          <w:noProof/>
        </w:rPr>
        <w:t>shillimi dhe administrimi i portofolit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etj</w:t>
      </w:r>
      <w:r w:rsidR="000A0378" w:rsidRPr="00051667">
        <w:rPr>
          <w:rFonts w:ascii="Times New Roman" w:hAnsi="Times New Roman" w:cs="Times New Roman"/>
          <w:noProof/>
        </w:rPr>
        <w:t>.</w:t>
      </w:r>
      <w:r w:rsidR="00DA6728" w:rsidRPr="00051667">
        <w:rPr>
          <w:rFonts w:ascii="Times New Roman" w:hAnsi="Times New Roman" w:cs="Times New Roman"/>
          <w:noProof/>
        </w:rPr>
        <w:t>,</w:t>
      </w:r>
      <w:r w:rsidRPr="00051667">
        <w:rPr>
          <w:rFonts w:ascii="Times New Roman" w:hAnsi="Times New Roman" w:cs="Times New Roman"/>
          <w:noProof/>
        </w:rPr>
        <w:t xml:space="preserve"> nuk mbulohen nga kuadri </w:t>
      </w:r>
      <w:r w:rsidR="00665016" w:rsidRPr="00051667">
        <w:rPr>
          <w:rFonts w:ascii="Times New Roman" w:hAnsi="Times New Roman" w:cs="Times New Roman"/>
          <w:noProof/>
        </w:rPr>
        <w:t>ligjor në fuqi</w:t>
      </w:r>
      <w:r w:rsidRPr="00051667">
        <w:rPr>
          <w:rFonts w:ascii="Times New Roman" w:hAnsi="Times New Roman" w:cs="Times New Roman"/>
          <w:noProof/>
        </w:rPr>
        <w:t>. Mungesa e legjislacionit p</w:t>
      </w:r>
      <w:r w:rsidR="00665016" w:rsidRPr="00051667">
        <w:rPr>
          <w:rFonts w:ascii="Times New Roman" w:hAnsi="Times New Roman" w:cs="Times New Roman"/>
          <w:noProof/>
        </w:rPr>
        <w:t>ë</w:t>
      </w:r>
      <w:r w:rsidRPr="00051667">
        <w:rPr>
          <w:rFonts w:ascii="Times New Roman" w:hAnsi="Times New Roman" w:cs="Times New Roman"/>
          <w:noProof/>
        </w:rPr>
        <w:t>r k</w:t>
      </w:r>
      <w:r w:rsidR="00665016" w:rsidRPr="00051667">
        <w:rPr>
          <w:rFonts w:ascii="Times New Roman" w:hAnsi="Times New Roman" w:cs="Times New Roman"/>
          <w:noProof/>
        </w:rPr>
        <w:t>ë</w:t>
      </w:r>
      <w:r w:rsidRPr="00051667">
        <w:rPr>
          <w:rFonts w:ascii="Times New Roman" w:hAnsi="Times New Roman" w:cs="Times New Roman"/>
          <w:noProof/>
        </w:rPr>
        <w:t>to lloj sh</w:t>
      </w:r>
      <w:r w:rsidR="00665016" w:rsidRPr="00051667">
        <w:rPr>
          <w:rFonts w:ascii="Times New Roman" w:hAnsi="Times New Roman" w:cs="Times New Roman"/>
          <w:noProof/>
        </w:rPr>
        <w:t>ë</w:t>
      </w:r>
      <w:r w:rsidRPr="00051667">
        <w:rPr>
          <w:rFonts w:ascii="Times New Roman" w:hAnsi="Times New Roman" w:cs="Times New Roman"/>
          <w:noProof/>
        </w:rPr>
        <w:t xml:space="preserve">rbimesh mund të rezultojë në rreziqe thelbësore për integritetin e tregut duke përfshirë abuzimin e tregut si dhe përfshirjes në krimin financiar. </w:t>
      </w:r>
      <w:r w:rsidR="009D594A" w:rsidRPr="00051667">
        <w:rPr>
          <w:rFonts w:ascii="Times New Roman" w:hAnsi="Times New Roman" w:cs="Times New Roman"/>
          <w:noProof/>
        </w:rPr>
        <w:t>K</w:t>
      </w:r>
      <w:r w:rsidR="00F003BF">
        <w:rPr>
          <w:rFonts w:ascii="Times New Roman" w:hAnsi="Times New Roman" w:cs="Times New Roman"/>
          <w:noProof/>
        </w:rPr>
        <w:t>ët</w:t>
      </w:r>
      <w:r w:rsidR="009D594A" w:rsidRPr="00051667">
        <w:rPr>
          <w:rFonts w:ascii="Times New Roman" w:hAnsi="Times New Roman" w:cs="Times New Roman"/>
          <w:noProof/>
        </w:rPr>
        <w:t>o veprimtari nuk rregullohet në mënyrë specifike nga ligji aktual.</w:t>
      </w:r>
    </w:p>
    <w:p w14:paraId="76ADDB47" w14:textId="77777777" w:rsidR="00665016" w:rsidRPr="00051667" w:rsidRDefault="00665016" w:rsidP="00051667">
      <w:pPr>
        <w:pStyle w:val="ListParagraph"/>
        <w:spacing w:after="0" w:line="276" w:lineRule="auto"/>
        <w:ind w:left="0"/>
        <w:jc w:val="both"/>
        <w:rPr>
          <w:rFonts w:ascii="Times New Roman" w:hAnsi="Times New Roman" w:cs="Times New Roman"/>
          <w:noProof/>
        </w:rPr>
      </w:pPr>
    </w:p>
    <w:p w14:paraId="62AAF4DE" w14:textId="7A2C7097" w:rsidR="006B1FDD" w:rsidRPr="00051667" w:rsidRDefault="00F003BF" w:rsidP="00051667">
      <w:pPr>
        <w:spacing w:after="0" w:line="276" w:lineRule="auto"/>
        <w:jc w:val="both"/>
        <w:rPr>
          <w:rFonts w:ascii="Times New Roman" w:hAnsi="Times New Roman" w:cs="Times New Roman"/>
          <w:noProof/>
        </w:rPr>
      </w:pPr>
      <w:r>
        <w:rPr>
          <w:rFonts w:ascii="Times New Roman" w:hAnsi="Times New Roman" w:cs="Times New Roman"/>
          <w:noProof/>
        </w:rPr>
        <w:t>N</w:t>
      </w:r>
      <w:r w:rsidR="006B1FDD" w:rsidRPr="00051667">
        <w:rPr>
          <w:rFonts w:ascii="Times New Roman" w:hAnsi="Times New Roman" w:cs="Times New Roman"/>
          <w:noProof/>
        </w:rPr>
        <w:t xml:space="preserve">dryshimet thelbësore midis ligjit </w:t>
      </w:r>
      <w:r w:rsidR="009B3C11" w:rsidRPr="00051667">
        <w:rPr>
          <w:rFonts w:ascii="Times New Roman" w:hAnsi="Times New Roman" w:cs="Times New Roman"/>
          <w:noProof/>
        </w:rPr>
        <w:t xml:space="preserve">nr. </w:t>
      </w:r>
      <w:r w:rsidR="006B1FDD" w:rsidRPr="00051667">
        <w:rPr>
          <w:rFonts w:ascii="Times New Roman" w:hAnsi="Times New Roman" w:cs="Times New Roman"/>
          <w:noProof/>
        </w:rPr>
        <w:t xml:space="preserve">66/2020 dhe </w:t>
      </w:r>
      <w:r w:rsidR="00B4226C">
        <w:rPr>
          <w:rFonts w:ascii="Times New Roman" w:hAnsi="Times New Roman" w:cs="Times New Roman"/>
          <w:noProof/>
        </w:rPr>
        <w:t xml:space="preserve">rregullores së BE 2023/1114 </w:t>
      </w:r>
      <w:r w:rsidR="006B1FDD" w:rsidRPr="00051667">
        <w:rPr>
          <w:rFonts w:ascii="Times New Roman" w:hAnsi="Times New Roman" w:cs="Times New Roman"/>
          <w:noProof/>
        </w:rPr>
        <w:t>“P</w:t>
      </w:r>
      <w:r w:rsidR="00AC000C" w:rsidRPr="00051667">
        <w:rPr>
          <w:rFonts w:ascii="Times New Roman" w:hAnsi="Times New Roman" w:cs="Times New Roman"/>
          <w:noProof/>
        </w:rPr>
        <w:t>ë</w:t>
      </w:r>
      <w:r w:rsidR="006B1FDD" w:rsidRPr="00051667">
        <w:rPr>
          <w:rFonts w:ascii="Times New Roman" w:hAnsi="Times New Roman" w:cs="Times New Roman"/>
          <w:noProof/>
        </w:rPr>
        <w:t>r tregjet e kripto-aseteve”</w:t>
      </w:r>
      <w:r w:rsidR="00B4226C">
        <w:rPr>
          <w:rFonts w:ascii="Times New Roman" w:hAnsi="Times New Roman" w:cs="Times New Roman"/>
          <w:noProof/>
        </w:rPr>
        <w:t xml:space="preserve"> e cila synohet të transpozohet përmes këtij projektligji,</w:t>
      </w:r>
      <w:r w:rsidR="009B3C11" w:rsidRPr="00051667">
        <w:rPr>
          <w:rFonts w:ascii="Times New Roman" w:hAnsi="Times New Roman" w:cs="Times New Roman"/>
          <w:noProof/>
        </w:rPr>
        <w:t xml:space="preserve"> </w:t>
      </w:r>
      <w:r w:rsidR="006B1FDD" w:rsidRPr="00051667">
        <w:rPr>
          <w:rFonts w:ascii="Times New Roman" w:hAnsi="Times New Roman" w:cs="Times New Roman"/>
          <w:noProof/>
        </w:rPr>
        <w:t xml:space="preserve">mund të përmblidhen si më poshtë: </w:t>
      </w:r>
    </w:p>
    <w:p w14:paraId="5380C183" w14:textId="77777777" w:rsidR="006B1FDD" w:rsidRPr="00051667" w:rsidRDefault="006B1FDD" w:rsidP="00051667">
      <w:pPr>
        <w:spacing w:after="0" w:line="276" w:lineRule="auto"/>
        <w:jc w:val="both"/>
        <w:rPr>
          <w:rFonts w:ascii="Times New Roman" w:hAnsi="Times New Roman" w:cs="Times New Roman"/>
          <w:noProof/>
        </w:rPr>
      </w:pPr>
    </w:p>
    <w:p w14:paraId="0D8CA8C4" w14:textId="60D5A985" w:rsidR="006B1FDD" w:rsidRPr="00051667" w:rsidRDefault="006B1FDD" w:rsidP="00051667">
      <w:pPr>
        <w:pStyle w:val="ListParagraph"/>
        <w:numPr>
          <w:ilvl w:val="0"/>
          <w:numId w:val="5"/>
        </w:numPr>
        <w:spacing w:after="0" w:line="276" w:lineRule="auto"/>
        <w:jc w:val="both"/>
        <w:rPr>
          <w:rFonts w:ascii="Times New Roman" w:hAnsi="Times New Roman" w:cs="Times New Roman"/>
          <w:noProof/>
        </w:rPr>
      </w:pPr>
      <w:r w:rsidRPr="00051667">
        <w:rPr>
          <w:rFonts w:ascii="Times New Roman" w:hAnsi="Times New Roman" w:cs="Times New Roman"/>
          <w:b/>
          <w:bCs/>
          <w:noProof/>
        </w:rPr>
        <w:t>Mungesa e subjekteve ndërmjetëse midis operatorëve të tregut dhe autoriteteve përgjegjëse</w:t>
      </w:r>
      <w:r w:rsidRPr="00051667">
        <w:rPr>
          <w:rFonts w:ascii="Times New Roman" w:hAnsi="Times New Roman" w:cs="Times New Roman"/>
          <w:noProof/>
        </w:rPr>
        <w:t xml:space="preserve"> - Ndryshe nga ligji </w:t>
      </w:r>
      <w:r w:rsidR="009B3C11" w:rsidRPr="00051667">
        <w:rPr>
          <w:rFonts w:ascii="Times New Roman" w:hAnsi="Times New Roman" w:cs="Times New Roman"/>
          <w:noProof/>
        </w:rPr>
        <w:t xml:space="preserve">nr. </w:t>
      </w:r>
      <w:r w:rsidRPr="00051667">
        <w:rPr>
          <w:rFonts w:ascii="Times New Roman" w:hAnsi="Times New Roman" w:cs="Times New Roman"/>
          <w:noProof/>
        </w:rPr>
        <w:t>66/2020, ku çdo aplikim për licencë</w:t>
      </w:r>
      <w:r w:rsidR="00B4226C">
        <w:rPr>
          <w:rFonts w:ascii="Times New Roman" w:hAnsi="Times New Roman" w:cs="Times New Roman"/>
          <w:noProof/>
        </w:rPr>
        <w:t xml:space="preserve"> tek autoritetet përgjegjëse</w:t>
      </w:r>
      <w:r w:rsidRPr="00051667">
        <w:rPr>
          <w:rFonts w:ascii="Times New Roman" w:hAnsi="Times New Roman" w:cs="Times New Roman"/>
          <w:noProof/>
        </w:rPr>
        <w:t xml:space="preserve"> duhet të vijë përmes një agjenti TD dhe</w:t>
      </w:r>
      <w:r w:rsidR="00B4226C">
        <w:rPr>
          <w:rFonts w:ascii="Times New Roman" w:hAnsi="Times New Roman" w:cs="Times New Roman"/>
          <w:noProof/>
        </w:rPr>
        <w:t>/ose</w:t>
      </w:r>
      <w:r w:rsidRPr="00051667">
        <w:rPr>
          <w:rFonts w:ascii="Times New Roman" w:hAnsi="Times New Roman" w:cs="Times New Roman"/>
          <w:noProof/>
        </w:rPr>
        <w:t xml:space="preserve"> ofruesi shërbimesh inovative të licencuar, të cilët kontrollojnë paraprakisht përputhshmërinë dhe përshtatshmërinë e subjekteve të cilët dëshirojnë të operojnë në këto tregje, projektligji mundëson që çdo subjekt i interesuar të aplikojë në mënyrë te drejtpërdrejtë pranë autoriteteve përgjegjëse.</w:t>
      </w:r>
    </w:p>
    <w:p w14:paraId="68332970" w14:textId="77777777" w:rsidR="006B1FDD" w:rsidRPr="00051667" w:rsidRDefault="006B1FDD" w:rsidP="00051667">
      <w:pPr>
        <w:spacing w:after="0" w:line="276" w:lineRule="auto"/>
        <w:jc w:val="both"/>
        <w:rPr>
          <w:rFonts w:ascii="Times New Roman" w:hAnsi="Times New Roman" w:cs="Times New Roman"/>
          <w:noProof/>
        </w:rPr>
      </w:pPr>
    </w:p>
    <w:p w14:paraId="0DC99D69" w14:textId="71F92F77" w:rsidR="006B1FDD" w:rsidRPr="00051667" w:rsidRDefault="006B1FDD" w:rsidP="00051667">
      <w:pPr>
        <w:pStyle w:val="ListParagraph"/>
        <w:numPr>
          <w:ilvl w:val="0"/>
          <w:numId w:val="5"/>
        </w:numPr>
        <w:spacing w:after="0" w:line="276" w:lineRule="auto"/>
        <w:jc w:val="both"/>
        <w:rPr>
          <w:rFonts w:ascii="Times New Roman" w:hAnsi="Times New Roman" w:cs="Times New Roman"/>
          <w:noProof/>
        </w:rPr>
      </w:pPr>
      <w:r w:rsidRPr="00051667">
        <w:rPr>
          <w:rFonts w:ascii="Times New Roman" w:hAnsi="Times New Roman" w:cs="Times New Roman"/>
          <w:b/>
          <w:bCs/>
          <w:noProof/>
        </w:rPr>
        <w:t>Zgjerim i perimetrit rregullator</w:t>
      </w:r>
      <w:r w:rsidRPr="00051667">
        <w:rPr>
          <w:rFonts w:ascii="Times New Roman" w:hAnsi="Times New Roman" w:cs="Times New Roman"/>
          <w:noProof/>
        </w:rPr>
        <w:t xml:space="preserve"> – Ndërsa ligji </w:t>
      </w:r>
      <w:r w:rsidR="009B3C11" w:rsidRPr="00051667">
        <w:rPr>
          <w:rFonts w:ascii="Times New Roman" w:hAnsi="Times New Roman" w:cs="Times New Roman"/>
          <w:noProof/>
        </w:rPr>
        <w:t xml:space="preserve">nr. </w:t>
      </w:r>
      <w:r w:rsidRPr="00051667">
        <w:rPr>
          <w:rFonts w:ascii="Times New Roman" w:hAnsi="Times New Roman" w:cs="Times New Roman"/>
          <w:noProof/>
        </w:rPr>
        <w:t xml:space="preserve">66/2020 fokusohet tek operatorët e tregut si Bursa DLT, Kujdestari i Portofolit dhe Emetuesit, projektligji zgjeron perimetrin rregullator duke përfshirë edhe veprimtaritë e ndërmjetësimit të kripto-aseteve si operimi i një platforme tregtie, këmbimi, kujdestaria, marrja dhe transmetimi i urdhrave, ekzekutimi urdhrave, </w:t>
      </w:r>
      <w:r w:rsidR="0087685E">
        <w:rPr>
          <w:rFonts w:ascii="Times New Roman" w:hAnsi="Times New Roman" w:cs="Times New Roman"/>
          <w:noProof/>
        </w:rPr>
        <w:t>hedhja në treg dhe t</w:t>
      </w:r>
      <w:r w:rsidRPr="00051667">
        <w:rPr>
          <w:rFonts w:ascii="Times New Roman" w:hAnsi="Times New Roman" w:cs="Times New Roman"/>
          <w:noProof/>
        </w:rPr>
        <w:t>ransferta</w:t>
      </w:r>
      <w:r w:rsidR="0087685E">
        <w:rPr>
          <w:rFonts w:ascii="Times New Roman" w:hAnsi="Times New Roman" w:cs="Times New Roman"/>
          <w:noProof/>
        </w:rPr>
        <w:t>t e kripto-aseteve</w:t>
      </w:r>
      <w:r w:rsidRPr="00051667">
        <w:rPr>
          <w:rFonts w:ascii="Times New Roman" w:hAnsi="Times New Roman" w:cs="Times New Roman"/>
          <w:noProof/>
        </w:rPr>
        <w:t xml:space="preserve">. </w:t>
      </w:r>
    </w:p>
    <w:p w14:paraId="0AA871F5" w14:textId="77777777" w:rsidR="006B1FDD" w:rsidRPr="00051667" w:rsidRDefault="006B1FDD" w:rsidP="00051667">
      <w:pPr>
        <w:pStyle w:val="ListParagraph"/>
        <w:spacing w:after="0" w:line="276" w:lineRule="auto"/>
        <w:jc w:val="both"/>
        <w:rPr>
          <w:rFonts w:ascii="Times New Roman" w:hAnsi="Times New Roman" w:cs="Times New Roman"/>
          <w:noProof/>
        </w:rPr>
      </w:pPr>
    </w:p>
    <w:p w14:paraId="7B2868F1" w14:textId="13F6DAD0" w:rsidR="006B1FDD" w:rsidRPr="00051667" w:rsidRDefault="006B1FDD" w:rsidP="00051667">
      <w:pPr>
        <w:pStyle w:val="ListParagraph"/>
        <w:numPr>
          <w:ilvl w:val="0"/>
          <w:numId w:val="5"/>
        </w:numPr>
        <w:spacing w:after="0" w:line="276" w:lineRule="auto"/>
        <w:jc w:val="both"/>
        <w:rPr>
          <w:rFonts w:ascii="Times New Roman" w:hAnsi="Times New Roman" w:cs="Times New Roman"/>
          <w:noProof/>
        </w:rPr>
      </w:pPr>
      <w:r w:rsidRPr="00051667">
        <w:rPr>
          <w:rFonts w:ascii="Times New Roman" w:hAnsi="Times New Roman" w:cs="Times New Roman"/>
          <w:b/>
          <w:bCs/>
          <w:noProof/>
        </w:rPr>
        <w:t>Rregullim i veçantë i tokenave të parasë elektronike dhe tokenave të aseteve</w:t>
      </w:r>
      <w:r w:rsidRPr="00051667">
        <w:rPr>
          <w:rFonts w:ascii="Times New Roman" w:hAnsi="Times New Roman" w:cs="Times New Roman"/>
          <w:noProof/>
        </w:rPr>
        <w:t xml:space="preserve"> – Projektligji përcakton procedura për autorizimin e emetuesit e tokenave, të cilat përfshijnë: ART (Asset Reference Token)/tokena të aseteve, një token digjital i cili pasqyron vlerën e një aseti/shporte asetesh; EMT (Electronic Money Token)/token i parasë elektronike, ndryshe “stablecoin”, i cili përfaqëson një token digjital që pasqyron vlerën e një valute, të tillë si USD, EUR, ALL etj. Rregullat për autorizimin e këtyre tokenave janë të ngjashme me ato të direktivës</w:t>
      </w:r>
      <w:r w:rsidR="00C020F7" w:rsidRPr="00051667">
        <w:rPr>
          <w:rFonts w:ascii="Times New Roman" w:hAnsi="Times New Roman" w:cs="Times New Roman"/>
          <w:noProof/>
        </w:rPr>
        <w:t xml:space="preserve"> </w:t>
      </w:r>
      <w:r w:rsidR="00C020F7" w:rsidRPr="00051667">
        <w:rPr>
          <w:rFonts w:ascii="Times New Roman" w:hAnsi="Times New Roman" w:cs="Times New Roman"/>
        </w:rPr>
        <w:t>2009/110/EC (EMD2</w:t>
      </w:r>
      <w:r w:rsidR="00C020F7" w:rsidRPr="00051667">
        <w:rPr>
          <w:rFonts w:ascii="Times New Roman" w:hAnsi="Times New Roman" w:cs="Times New Roman"/>
          <w:noProof/>
        </w:rPr>
        <w:t>)</w:t>
      </w:r>
      <w:r w:rsidRPr="00051667">
        <w:rPr>
          <w:rFonts w:ascii="Times New Roman" w:hAnsi="Times New Roman" w:cs="Times New Roman"/>
          <w:noProof/>
        </w:rPr>
        <w:t xml:space="preserve"> për paranë elektronike dhe përfshijnë kërkesa për ndarjen e fondeve të klientëve, mbajtjen e rezervës se aseteve dhe cilësinë e këtyre aseteve, mundësitë e shlyerjes etj. Gjithashtu, ky projektligj përmban kërkesa të veçanta për tokena t</w:t>
      </w:r>
      <w:r w:rsidR="00C020F7" w:rsidRPr="00051667">
        <w:rPr>
          <w:rFonts w:ascii="Times New Roman" w:hAnsi="Times New Roman" w:cs="Times New Roman"/>
          <w:noProof/>
        </w:rPr>
        <w:t>ë</w:t>
      </w:r>
      <w:r w:rsidRPr="00051667">
        <w:rPr>
          <w:rFonts w:ascii="Times New Roman" w:hAnsi="Times New Roman" w:cs="Times New Roman"/>
          <w:noProof/>
        </w:rPr>
        <w:t xml:space="preserve"> parasë elektronike dhe ART/tokena t</w:t>
      </w:r>
      <w:r w:rsidR="00C020F7" w:rsidRPr="00051667">
        <w:rPr>
          <w:rFonts w:ascii="Times New Roman" w:hAnsi="Times New Roman" w:cs="Times New Roman"/>
          <w:noProof/>
        </w:rPr>
        <w:t>ë</w:t>
      </w:r>
      <w:r w:rsidRPr="00051667">
        <w:rPr>
          <w:rFonts w:ascii="Times New Roman" w:hAnsi="Times New Roman" w:cs="Times New Roman"/>
          <w:noProof/>
        </w:rPr>
        <w:t xml:space="preserve"> aseteve të një rëndësie sistemike, duke </w:t>
      </w:r>
      <w:r w:rsidRPr="00051667">
        <w:rPr>
          <w:rFonts w:ascii="Times New Roman" w:hAnsi="Times New Roman" w:cs="Times New Roman"/>
          <w:noProof/>
        </w:rPr>
        <w:lastRenderedPageBreak/>
        <w:t>i ngarkuar ofruesit e shërbimeve më një sërë kërkesash më të rrepta në lidhje me mbajtjen e kapitalit rregullator dhe cilësisë s</w:t>
      </w:r>
      <w:r w:rsidR="00C020F7" w:rsidRPr="00051667">
        <w:rPr>
          <w:rFonts w:ascii="Times New Roman" w:hAnsi="Times New Roman" w:cs="Times New Roman"/>
          <w:noProof/>
        </w:rPr>
        <w:t>ë</w:t>
      </w:r>
      <w:r w:rsidRPr="00051667">
        <w:rPr>
          <w:rFonts w:ascii="Times New Roman" w:hAnsi="Times New Roman" w:cs="Times New Roman"/>
          <w:noProof/>
        </w:rPr>
        <w:t xml:space="preserve"> aseteve. Nga ana tjetër,  ligji 66/2020 nuk ka dispozita të veçanta për emetimin e tokenave të parasë elektronike ose tokenave t</w:t>
      </w:r>
      <w:r w:rsidR="00767BB5" w:rsidRPr="00051667">
        <w:rPr>
          <w:rFonts w:ascii="Times New Roman" w:hAnsi="Times New Roman" w:cs="Times New Roman"/>
          <w:noProof/>
        </w:rPr>
        <w:t>ë</w:t>
      </w:r>
      <w:r w:rsidRPr="00051667">
        <w:rPr>
          <w:rFonts w:ascii="Times New Roman" w:hAnsi="Times New Roman" w:cs="Times New Roman"/>
          <w:noProof/>
        </w:rPr>
        <w:t xml:space="preserve"> aseteve, dhe e trajton emetimin e tyre në mënyrë të njëjtë me tokenat e tjerë.  </w:t>
      </w:r>
    </w:p>
    <w:p w14:paraId="4F243E78" w14:textId="77777777" w:rsidR="00C020F7" w:rsidRPr="00051667" w:rsidRDefault="00C020F7" w:rsidP="00051667">
      <w:pPr>
        <w:pStyle w:val="ListParagraph"/>
        <w:spacing w:after="0" w:line="276" w:lineRule="auto"/>
        <w:jc w:val="both"/>
        <w:rPr>
          <w:rFonts w:ascii="Times New Roman" w:hAnsi="Times New Roman" w:cs="Times New Roman"/>
          <w:noProof/>
        </w:rPr>
      </w:pPr>
    </w:p>
    <w:p w14:paraId="6338ECA8" w14:textId="396E499C" w:rsidR="006B1FDD" w:rsidRPr="00051667" w:rsidRDefault="006B1FDD" w:rsidP="00051667">
      <w:pPr>
        <w:pStyle w:val="ListParagraph"/>
        <w:numPr>
          <w:ilvl w:val="0"/>
          <w:numId w:val="5"/>
        </w:numPr>
        <w:spacing w:after="0" w:line="276" w:lineRule="auto"/>
        <w:jc w:val="both"/>
        <w:rPr>
          <w:rFonts w:ascii="Times New Roman" w:hAnsi="Times New Roman" w:cs="Times New Roman"/>
          <w:noProof/>
        </w:rPr>
      </w:pPr>
      <w:r w:rsidRPr="00051667">
        <w:rPr>
          <w:rFonts w:ascii="Times New Roman" w:hAnsi="Times New Roman" w:cs="Times New Roman"/>
          <w:b/>
          <w:bCs/>
          <w:noProof/>
        </w:rPr>
        <w:t>Përfshirja e</w:t>
      </w:r>
      <w:r w:rsidR="0087685E">
        <w:rPr>
          <w:rFonts w:ascii="Times New Roman" w:hAnsi="Times New Roman" w:cs="Times New Roman"/>
          <w:b/>
          <w:bCs/>
          <w:noProof/>
        </w:rPr>
        <w:t xml:space="preserve"> autoriteteve mbikëqyrëse bankare</w:t>
      </w:r>
      <w:r w:rsidRPr="00051667">
        <w:rPr>
          <w:rFonts w:ascii="Times New Roman" w:hAnsi="Times New Roman" w:cs="Times New Roman"/>
          <w:b/>
          <w:bCs/>
          <w:noProof/>
        </w:rPr>
        <w:t xml:space="preserve"> në cilësinë e autoritetit përgjegjës</w:t>
      </w:r>
      <w:r w:rsidRPr="00051667">
        <w:rPr>
          <w:rFonts w:ascii="Times New Roman" w:hAnsi="Times New Roman" w:cs="Times New Roman"/>
          <w:noProof/>
        </w:rPr>
        <w:t xml:space="preserve"> – Duke qenë se një pjesë e rëndësishme e projektligjit fokusohet në autorizimin e emetuesve të tokenave të parasë elektronike dhe tokenave të aseteve, ky projektligj vendos një theks të veçantë tek roli i</w:t>
      </w:r>
      <w:r w:rsidR="0087685E">
        <w:rPr>
          <w:rFonts w:ascii="Times New Roman" w:hAnsi="Times New Roman" w:cs="Times New Roman"/>
          <w:noProof/>
        </w:rPr>
        <w:t xml:space="preserve"> autoriteteve mbikëqyrëse bankare</w:t>
      </w:r>
      <w:r w:rsidRPr="00051667">
        <w:rPr>
          <w:rFonts w:ascii="Times New Roman" w:hAnsi="Times New Roman" w:cs="Times New Roman"/>
          <w:noProof/>
        </w:rPr>
        <w:t xml:space="preserve"> në rregullimin e ekosistemit të kripto-aseteve, duke i dhënë asaj një rol thelbësor në procesin e autorizimit dhe mbikëqyrjes në vijimësi.  </w:t>
      </w:r>
    </w:p>
    <w:p w14:paraId="19DBE1AB" w14:textId="77777777" w:rsidR="006B1FDD" w:rsidRPr="00051667" w:rsidRDefault="006B1FDD" w:rsidP="00051667">
      <w:pPr>
        <w:pStyle w:val="ListParagraph"/>
        <w:spacing w:after="0" w:line="276" w:lineRule="auto"/>
        <w:rPr>
          <w:rFonts w:ascii="Times New Roman" w:hAnsi="Times New Roman" w:cs="Times New Roman"/>
          <w:noProof/>
        </w:rPr>
      </w:pPr>
    </w:p>
    <w:p w14:paraId="236D2188" w14:textId="58FA9F8D" w:rsidR="006B1FDD" w:rsidRPr="00051667" w:rsidRDefault="006B1FDD" w:rsidP="00051667">
      <w:pPr>
        <w:pStyle w:val="ListParagraph"/>
        <w:numPr>
          <w:ilvl w:val="0"/>
          <w:numId w:val="5"/>
        </w:numPr>
        <w:spacing w:after="0" w:line="276" w:lineRule="auto"/>
        <w:jc w:val="both"/>
        <w:rPr>
          <w:rFonts w:ascii="Times New Roman" w:hAnsi="Times New Roman" w:cs="Times New Roman"/>
          <w:noProof/>
        </w:rPr>
      </w:pPr>
      <w:r w:rsidRPr="00051667">
        <w:rPr>
          <w:rFonts w:ascii="Times New Roman" w:hAnsi="Times New Roman" w:cs="Times New Roman"/>
          <w:b/>
          <w:bCs/>
          <w:noProof/>
        </w:rPr>
        <w:t>Mospërfshirje e autoriteteve të teknologjisë së informacionit</w:t>
      </w:r>
      <w:r w:rsidRPr="00051667">
        <w:rPr>
          <w:rFonts w:ascii="Times New Roman" w:hAnsi="Times New Roman" w:cs="Times New Roman"/>
          <w:noProof/>
        </w:rPr>
        <w:t xml:space="preserve"> – Ndryshe nga ligji </w:t>
      </w:r>
      <w:r w:rsidR="009B3C11" w:rsidRPr="00051667">
        <w:rPr>
          <w:rFonts w:ascii="Times New Roman" w:hAnsi="Times New Roman" w:cs="Times New Roman"/>
          <w:noProof/>
        </w:rPr>
        <w:t xml:space="preserve">nr. </w:t>
      </w:r>
      <w:r w:rsidRPr="00051667">
        <w:rPr>
          <w:rFonts w:ascii="Times New Roman" w:hAnsi="Times New Roman" w:cs="Times New Roman"/>
          <w:noProof/>
        </w:rPr>
        <w:t>66/2020, projektligji “Për tregjet e kripto-aseteve” nuk përfshin asnjë autoritet të teknologjisë së informacionit në cilësinë e autoritetit përgjegjës për zbatimin e tij.</w:t>
      </w:r>
    </w:p>
    <w:p w14:paraId="2CAC3207" w14:textId="77777777" w:rsidR="006B1FDD" w:rsidRPr="00051667" w:rsidRDefault="006B1FDD" w:rsidP="00051667">
      <w:pPr>
        <w:pStyle w:val="ListParagraph"/>
        <w:spacing w:after="0" w:line="276" w:lineRule="auto"/>
        <w:rPr>
          <w:rFonts w:ascii="Times New Roman" w:hAnsi="Times New Roman" w:cs="Times New Roman"/>
          <w:noProof/>
        </w:rPr>
      </w:pPr>
    </w:p>
    <w:p w14:paraId="6508054A" w14:textId="4D5A78D5" w:rsidR="006B1FDD" w:rsidRPr="00051667" w:rsidRDefault="006B1FDD" w:rsidP="00051667">
      <w:pPr>
        <w:pStyle w:val="ListParagraph"/>
        <w:numPr>
          <w:ilvl w:val="0"/>
          <w:numId w:val="5"/>
        </w:numPr>
        <w:spacing w:after="0" w:line="276" w:lineRule="auto"/>
        <w:jc w:val="both"/>
        <w:rPr>
          <w:rFonts w:ascii="Times New Roman" w:hAnsi="Times New Roman" w:cs="Times New Roman"/>
          <w:noProof/>
        </w:rPr>
      </w:pPr>
      <w:r w:rsidRPr="00051667">
        <w:rPr>
          <w:rFonts w:ascii="Times New Roman" w:hAnsi="Times New Roman" w:cs="Times New Roman"/>
          <w:b/>
          <w:bCs/>
          <w:noProof/>
        </w:rPr>
        <w:t>Mungesa e rregullimit të ekosistemit të financës së decentralizuar</w:t>
      </w:r>
      <w:r w:rsidRPr="00051667">
        <w:rPr>
          <w:rFonts w:ascii="Times New Roman" w:hAnsi="Times New Roman" w:cs="Times New Roman"/>
          <w:noProof/>
        </w:rPr>
        <w:t xml:space="preserve"> – Ndryshe nga ligji </w:t>
      </w:r>
      <w:r w:rsidR="009B3C11" w:rsidRPr="00051667">
        <w:rPr>
          <w:rFonts w:ascii="Times New Roman" w:hAnsi="Times New Roman" w:cs="Times New Roman"/>
          <w:noProof/>
        </w:rPr>
        <w:t xml:space="preserve">nr. </w:t>
      </w:r>
      <w:r w:rsidRPr="00051667">
        <w:rPr>
          <w:rFonts w:ascii="Times New Roman" w:hAnsi="Times New Roman" w:cs="Times New Roman"/>
          <w:noProof/>
        </w:rPr>
        <w:t xml:space="preserve">66/2020, i cili përfshin rregullime për Bursat DLT të decentralizuara dhe kontratat “smart”, projektligji ka në fokus vetëm shërbimet e kripto-aseteve të cilat kanë një entitet qendror të identifikueshëm, duke i ngarkuar këtij të fundit zbatimin e të gjitha kërkesave rregullatore. Bashkimi Evropian është shprehur se rregullimi i ekosistemit De-Fi (decentralizimi financiar) do të vijë në një moment të dytë.  </w:t>
      </w:r>
    </w:p>
    <w:p w14:paraId="49FB5A09" w14:textId="77777777" w:rsidR="006A34F8" w:rsidRDefault="006A34F8" w:rsidP="00051667">
      <w:pPr>
        <w:pStyle w:val="ListParagraph"/>
        <w:spacing w:after="0" w:line="276" w:lineRule="auto"/>
        <w:ind w:left="0"/>
        <w:jc w:val="both"/>
        <w:rPr>
          <w:rFonts w:ascii="Times New Roman" w:hAnsi="Times New Roman" w:cs="Times New Roman"/>
          <w:noProof/>
        </w:rPr>
      </w:pPr>
    </w:p>
    <w:p w14:paraId="0515F78F" w14:textId="178E5263" w:rsidR="00AC000C" w:rsidRPr="006A34F8" w:rsidRDefault="006A34F8" w:rsidP="00051667">
      <w:pPr>
        <w:pStyle w:val="ListParagraph"/>
        <w:spacing w:after="0" w:line="276" w:lineRule="auto"/>
        <w:ind w:left="0"/>
        <w:jc w:val="both"/>
        <w:rPr>
          <w:rFonts w:ascii="Times New Roman" w:hAnsi="Times New Roman" w:cs="Times New Roman"/>
          <w:b/>
          <w:bCs/>
          <w:noProof/>
        </w:rPr>
      </w:pPr>
      <w:r w:rsidRPr="006A34F8">
        <w:rPr>
          <w:rFonts w:ascii="Times New Roman" w:hAnsi="Times New Roman" w:cs="Times New Roman"/>
          <w:b/>
          <w:bCs/>
          <w:noProof/>
        </w:rPr>
        <w:t>Adresimi i rreziqeve</w:t>
      </w:r>
    </w:p>
    <w:p w14:paraId="59BA4062" w14:textId="77777777" w:rsidR="006A34F8" w:rsidRDefault="006A34F8" w:rsidP="00051667">
      <w:pPr>
        <w:pStyle w:val="ListParagraph"/>
        <w:spacing w:after="0" w:line="276" w:lineRule="auto"/>
        <w:ind w:left="0"/>
        <w:jc w:val="both"/>
        <w:rPr>
          <w:rFonts w:ascii="Times New Roman" w:hAnsi="Times New Roman" w:cs="Times New Roman"/>
          <w:noProof/>
        </w:rPr>
      </w:pPr>
    </w:p>
    <w:p w14:paraId="15EB55CA" w14:textId="2472DFC6"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Projektligji “Për tregjet e kripto-aseteve” synon të vendosë një arkitekturë të unifikuar rregullatore që i përgjigjet drejtpërdrejt kanaleve kryesore të rrezikut në këtë treg: rrezikun ndaj stabilitetit financiar dhe funksionimit të sistemeve të pagesave; rrezikun e integritetit të tregut; asimetrinë e informacionit dhe mbrojtjen e klientit; ekspozimin ndaj pastrimit të parave; rrezikun e tregtimit </w:t>
      </w:r>
      <w:r>
        <w:rPr>
          <w:rFonts w:ascii="Times New Roman" w:hAnsi="Times New Roman" w:cs="Times New Roman"/>
          <w:noProof/>
          <w:lang w:val="en-US"/>
        </w:rPr>
        <w:t>sekondar</w:t>
      </w:r>
      <w:r w:rsidRPr="006A34F8">
        <w:rPr>
          <w:rFonts w:ascii="Times New Roman" w:hAnsi="Times New Roman" w:cs="Times New Roman"/>
          <w:noProof/>
          <w:lang w:val="en-US"/>
        </w:rPr>
        <w:t xml:space="preserve"> dhe të likuiditetit; rreziqet teknologjike dhe operacionale; si dhe rrezikun e kujdestarisë dhe të çelësave privatë. Këto rreziqe nuk janë hipotetike</w:t>
      </w:r>
      <w:r>
        <w:rPr>
          <w:rFonts w:ascii="Times New Roman" w:hAnsi="Times New Roman" w:cs="Times New Roman"/>
          <w:noProof/>
          <w:lang w:val="en-US"/>
        </w:rPr>
        <w:t xml:space="preserve"> pasi</w:t>
      </w:r>
      <w:r w:rsidRPr="006A34F8">
        <w:rPr>
          <w:rFonts w:ascii="Times New Roman" w:hAnsi="Times New Roman" w:cs="Times New Roman"/>
          <w:noProof/>
          <w:lang w:val="en-US"/>
        </w:rPr>
        <w:t xml:space="preserve"> zhvillimet ndërkombëtare (si rastet Terra/Luna, Celsius apo FTX) kanë treguar se mungesa e rregullimit specifik sjell humbje të konsiderueshme për klientët joprofesionistë, çrregullime të tregtimit dhe çështje të integritetit të tregut. Kuadri i propozuar, i përputhur me standardet evropiane që projektligji synon të transpozojë, i trajton</w:t>
      </w:r>
      <w:r>
        <w:rPr>
          <w:rFonts w:ascii="Times New Roman" w:hAnsi="Times New Roman" w:cs="Times New Roman"/>
          <w:noProof/>
          <w:lang w:val="en-US"/>
        </w:rPr>
        <w:t xml:space="preserve"> ato</w:t>
      </w:r>
      <w:r w:rsidRPr="006A34F8">
        <w:rPr>
          <w:rFonts w:ascii="Times New Roman" w:hAnsi="Times New Roman" w:cs="Times New Roman"/>
          <w:noProof/>
          <w:lang w:val="en-US"/>
        </w:rPr>
        <w:t xml:space="preserve"> në mënyrë koherente dhe të zbatueshme.</w:t>
      </w:r>
    </w:p>
    <w:p w14:paraId="4DDD27C6"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275498C4" w14:textId="77777777" w:rsidR="006A34F8" w:rsidRDefault="006A34F8" w:rsidP="006A34F8">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Stabiliteti financiar dhe funksionimi i pagesave.</w:t>
      </w:r>
      <w:r w:rsidRPr="006A34F8">
        <w:rPr>
          <w:rFonts w:ascii="Times New Roman" w:hAnsi="Times New Roman" w:cs="Times New Roman"/>
          <w:noProof/>
          <w:lang w:val="en-US"/>
        </w:rPr>
        <w:t xml:space="preserve"> </w:t>
      </w:r>
    </w:p>
    <w:p w14:paraId="78E96269" w14:textId="77777777" w:rsidR="006A34F8" w:rsidRDefault="006A34F8" w:rsidP="006A34F8">
      <w:pPr>
        <w:pStyle w:val="ListParagraph"/>
        <w:spacing w:after="0" w:line="276" w:lineRule="auto"/>
        <w:ind w:left="0"/>
        <w:jc w:val="both"/>
        <w:rPr>
          <w:rFonts w:ascii="Times New Roman" w:hAnsi="Times New Roman" w:cs="Times New Roman"/>
          <w:noProof/>
          <w:lang w:val="en-US"/>
        </w:rPr>
      </w:pPr>
    </w:p>
    <w:p w14:paraId="26D472C0" w14:textId="76198C36"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Projektligji vendos një regjim të posaçëm për tokenin e aset</w:t>
      </w:r>
      <w:r>
        <w:rPr>
          <w:rFonts w:ascii="Times New Roman" w:hAnsi="Times New Roman" w:cs="Times New Roman"/>
          <w:noProof/>
          <w:lang w:val="en-US"/>
        </w:rPr>
        <w:t>eve</w:t>
      </w:r>
      <w:r w:rsidRPr="006A34F8">
        <w:rPr>
          <w:rFonts w:ascii="Times New Roman" w:hAnsi="Times New Roman" w:cs="Times New Roman"/>
          <w:noProof/>
          <w:lang w:val="en-US"/>
        </w:rPr>
        <w:t xml:space="preserve"> dhe tokenin e parasë elektronike, duke i trajtuar si instrumente që, nëse marrin përdorim të gjerë, mund të luajnë funksione të </w:t>
      </w:r>
      <w:r w:rsidRPr="006A34F8">
        <w:rPr>
          <w:rFonts w:ascii="Times New Roman" w:hAnsi="Times New Roman" w:cs="Times New Roman"/>
          <w:noProof/>
          <w:lang w:val="en-US"/>
        </w:rPr>
        <w:lastRenderedPageBreak/>
        <w:t>ngjashme me paranë në pagesa dhe ruajtje</w:t>
      </w:r>
      <w:r>
        <w:rPr>
          <w:rFonts w:ascii="Times New Roman" w:hAnsi="Times New Roman" w:cs="Times New Roman"/>
          <w:noProof/>
          <w:lang w:val="en-US"/>
        </w:rPr>
        <w:t xml:space="preserve"> të</w:t>
      </w:r>
      <w:r w:rsidRPr="006A34F8">
        <w:rPr>
          <w:rFonts w:ascii="Times New Roman" w:hAnsi="Times New Roman" w:cs="Times New Roman"/>
          <w:noProof/>
          <w:lang w:val="en-US"/>
        </w:rPr>
        <w:t xml:space="preserve"> vler</w:t>
      </w:r>
      <w:r>
        <w:rPr>
          <w:rFonts w:ascii="Times New Roman" w:hAnsi="Times New Roman" w:cs="Times New Roman"/>
          <w:noProof/>
          <w:lang w:val="en-US"/>
        </w:rPr>
        <w:t>ës</w:t>
      </w:r>
      <w:r w:rsidRPr="006A34F8">
        <w:rPr>
          <w:rFonts w:ascii="Times New Roman" w:hAnsi="Times New Roman" w:cs="Times New Roman"/>
          <w:noProof/>
          <w:lang w:val="en-US"/>
        </w:rPr>
        <w:t xml:space="preserve">. Qëllimi është të parandalohet materializimi i rreziqeve të </w:t>
      </w:r>
      <w:r>
        <w:rPr>
          <w:rFonts w:ascii="Times New Roman" w:hAnsi="Times New Roman" w:cs="Times New Roman"/>
          <w:noProof/>
          <w:lang w:val="en-US"/>
        </w:rPr>
        <w:t>tërheqjeve të shumëfishta</w:t>
      </w:r>
      <w:r w:rsidRPr="006A34F8">
        <w:rPr>
          <w:rFonts w:ascii="Times New Roman" w:hAnsi="Times New Roman" w:cs="Times New Roman"/>
          <w:noProof/>
          <w:lang w:val="en-US"/>
        </w:rPr>
        <w:t xml:space="preserve">, </w:t>
      </w:r>
      <w:r w:rsidR="0016549B">
        <w:rPr>
          <w:rFonts w:ascii="Times New Roman" w:hAnsi="Times New Roman" w:cs="Times New Roman"/>
          <w:noProof/>
          <w:lang w:val="en-US"/>
        </w:rPr>
        <w:t xml:space="preserve">shkëputje nga mekanzimi i fiksimit të vlerës, </w:t>
      </w:r>
      <w:r w:rsidRPr="006A34F8">
        <w:rPr>
          <w:rFonts w:ascii="Times New Roman" w:hAnsi="Times New Roman" w:cs="Times New Roman"/>
          <w:noProof/>
          <w:lang w:val="en-US"/>
        </w:rPr>
        <w:t xml:space="preserve">dhe “shitjeve me çdo kusht” </w:t>
      </w:r>
      <w:r w:rsidR="0016549B">
        <w:rPr>
          <w:rFonts w:ascii="Times New Roman" w:hAnsi="Times New Roman" w:cs="Times New Roman"/>
          <w:noProof/>
          <w:lang w:val="en-US"/>
        </w:rPr>
        <w:t>t</w:t>
      </w:r>
      <w:r w:rsidRPr="006A34F8">
        <w:rPr>
          <w:rFonts w:ascii="Times New Roman" w:hAnsi="Times New Roman" w:cs="Times New Roman"/>
          <w:noProof/>
          <w:lang w:val="en-US"/>
        </w:rPr>
        <w:t xml:space="preserve">ë </w:t>
      </w:r>
      <w:r w:rsidR="0016549B">
        <w:rPr>
          <w:rFonts w:ascii="Times New Roman" w:hAnsi="Times New Roman" w:cs="Times New Roman"/>
          <w:noProof/>
          <w:lang w:val="en-US"/>
        </w:rPr>
        <w:t>rezervës së aseteve</w:t>
      </w:r>
      <w:r w:rsidRPr="006A34F8">
        <w:rPr>
          <w:rFonts w:ascii="Times New Roman" w:hAnsi="Times New Roman" w:cs="Times New Roman"/>
          <w:noProof/>
          <w:lang w:val="en-US"/>
        </w:rPr>
        <w:t>, si dhe të sigurohet që çdo detyrim ndaj mbajtësve të tokenëve të përmbushet në kohë dhe në mënyrë të rregullt, pa cënuar stabilitetin financiar dhe funksionimin e sistemeve të pagesave.</w:t>
      </w:r>
    </w:p>
    <w:p w14:paraId="1D659424"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3F42EEEA" w14:textId="42A3D74F"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Për tokenin e parasë elektronike, </w:t>
      </w:r>
      <w:r w:rsidR="0016549B">
        <w:rPr>
          <w:rFonts w:ascii="Times New Roman" w:hAnsi="Times New Roman" w:cs="Times New Roman"/>
          <w:noProof/>
          <w:lang w:val="en-US"/>
        </w:rPr>
        <w:t>projekt</w:t>
      </w:r>
      <w:r w:rsidRPr="006A34F8">
        <w:rPr>
          <w:rFonts w:ascii="Times New Roman" w:hAnsi="Times New Roman" w:cs="Times New Roman"/>
          <w:noProof/>
          <w:lang w:val="en-US"/>
        </w:rPr>
        <w:t xml:space="preserve">ligji konfirmon detyrimin e shlyerjes në çdo kohë nga emetuesi “duke e paguar në fonde… në vlerë të barabartë me vlerën monetare të tokenit”, dhe kërkon që kushtet e shlyerjes të deklarohen qartë në dokumentin informues. Shlyerja nuk mund të jetë objekt tarifash nga ana e emetuesit; ndërkohë parashikohet ndalimi i dhënies së interesit mbi këta tokenë, si dhe barazimi i çdo shpërblimi tjetër me efekt interesi me “interes” për qëllimet e ndalimit. Kjo arkitekturë e distancon qartësisht tokenin e parasë elektronike nga produktet e kursimit me kthim/interes dhe e ankoron atë në një kornizë pagesash me shlyerje të menjëhershme dhe me vlerë të barabartë. </w:t>
      </w:r>
    </w:p>
    <w:p w14:paraId="5124C172"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05D46592" w14:textId="45ACBE9D"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Për tokenin e asetit, ligji vendos “</w:t>
      </w:r>
      <w:r w:rsidR="00876D7B">
        <w:rPr>
          <w:rFonts w:ascii="Times New Roman" w:hAnsi="Times New Roman" w:cs="Times New Roman"/>
          <w:noProof/>
          <w:lang w:val="en-US"/>
        </w:rPr>
        <w:t>t</w:t>
      </w:r>
      <w:r w:rsidRPr="006A34F8">
        <w:rPr>
          <w:rFonts w:ascii="Times New Roman" w:hAnsi="Times New Roman" w:cs="Times New Roman"/>
          <w:noProof/>
          <w:lang w:val="en-US"/>
        </w:rPr>
        <w:t xml:space="preserve">ë drejtën e shlyerjes” si të drejtë të përhershme të </w:t>
      </w:r>
      <w:r w:rsidR="00876D7B">
        <w:rPr>
          <w:rFonts w:ascii="Times New Roman" w:hAnsi="Times New Roman" w:cs="Times New Roman"/>
          <w:noProof/>
          <w:lang w:val="en-US"/>
        </w:rPr>
        <w:t>zotëruesve</w:t>
      </w:r>
      <w:r w:rsidRPr="006A34F8">
        <w:rPr>
          <w:rFonts w:ascii="Times New Roman" w:hAnsi="Times New Roman" w:cs="Times New Roman"/>
          <w:noProof/>
          <w:lang w:val="en-US"/>
        </w:rPr>
        <w:t xml:space="preserve"> “në çdo kohë” ndaj emetuesit dhe rezervës së aseteve, duke lejuar shlyerje në fonde (të ndryshme nga paraja elektronike) në vlerën e tregut të aseteve të referuara ose në natyrë, sipas politikave të paracaktuara. Emetuesi detyrohet të përcaktojë kushtet, mekanizmat dhe procedurat e shlyerjes edhe nën luhatshmëri të lartë, si dhe parimet e vlerësimit për tokenët dhe asetet rezervë që mobilizohen gjatë shlyerjes. Këto kërkesa sigurojnë se procesi i shndërrimit të pretendimeve të mbajtësve në fonde ose asete reale është i parashikueshëm, i zbatueshëm dhe i mbrojtur nga praktikat që mund të krijojnë pabarazi ndërmjet mbajtësve. </w:t>
      </w:r>
    </w:p>
    <w:p w14:paraId="41412353"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40494E5B" w14:textId="0A1E2369"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Ky regjim mbështetet nga standardet e rezervës së aseteve dhe qeverisjes së likuiditetit. Investimi i rezervës së aseteve lejohet vetëm në instrumente financiare shumë likuide me rrezik minimal tregu, krediti dhe përqendrimi, të afta për t’u likuiduar shpejt me ndikim minimal në çmim; çdo fitim apo humbje dhe rrezik i palës së tretë/operacional nga investimi i rezervës i mbart emetuesi, jo mbajtësit. Rezerva mbahet në kujdestari, me rregulla për zgjedhjen/monitorimin e kujdestarëve dhe mbrojtjen ndaj pretendimeve të kreditorëve të tyre. Këto dispozita e bëjnë rezervën një buffer prudencial të besueshëm, duke e izoluar atë si nga rreziqet e tregut, ashtu edhe nga rreziqet e insolvecës së kujdestarit. </w:t>
      </w:r>
    </w:p>
    <w:p w14:paraId="23060F87"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574FDB5D" w14:textId="266EF100" w:rsidR="006A34F8" w:rsidRPr="006A34F8" w:rsidRDefault="00876D7B" w:rsidP="006A34F8">
      <w:pPr>
        <w:pStyle w:val="ListParagraph"/>
        <w:spacing w:after="0" w:line="276" w:lineRule="auto"/>
        <w:ind w:left="0"/>
        <w:jc w:val="both"/>
        <w:rPr>
          <w:rFonts w:ascii="Times New Roman" w:hAnsi="Times New Roman" w:cs="Times New Roman"/>
          <w:noProof/>
          <w:lang w:val="en-US"/>
        </w:rPr>
      </w:pPr>
      <w:r>
        <w:rPr>
          <w:rFonts w:ascii="Times New Roman" w:hAnsi="Times New Roman" w:cs="Times New Roman"/>
          <w:noProof/>
          <w:lang w:val="en-US"/>
        </w:rPr>
        <w:t>Me qëllim kufizimin e rreziqeve</w:t>
      </w:r>
      <w:r w:rsidR="006A34F8" w:rsidRPr="006A34F8">
        <w:rPr>
          <w:rFonts w:ascii="Times New Roman" w:hAnsi="Times New Roman" w:cs="Times New Roman"/>
          <w:noProof/>
          <w:lang w:val="en-US"/>
        </w:rPr>
        <w:t xml:space="preserve"> sistemike, projektligji vendos një regjim të posaçëm për tokenët “me rëndësi të lartë”, përfshirë kërkesat për politika shpërblimi të përputhshme me menaxhimin e qëndrueshëm të rrezikut, akses të drejtë në kujdestari nga ofrues të ndryshëm të shërbimeve dhe, mbi të gjitha, vlerësim/monitorim të nevojave për likuiditet, politika të menaxhimit të likuiditetit dhe teste stresi të likuiditetit, me mundësinë që Banka e Shqipërisë të kërkojë forcim të kërkesave kur del nga testet nevoja për rezerva më të larta likuide. Kjo qasje zbut rrezikun e vrapimeve të </w:t>
      </w:r>
      <w:r w:rsidR="006A34F8" w:rsidRPr="006A34F8">
        <w:rPr>
          <w:rFonts w:ascii="Times New Roman" w:hAnsi="Times New Roman" w:cs="Times New Roman"/>
          <w:noProof/>
          <w:lang w:val="en-US"/>
        </w:rPr>
        <w:lastRenderedPageBreak/>
        <w:t xml:space="preserve">njëkohshme, stabilizon ritmin e shlyerjeve nën stres dhe redukton kanalet e kontaminimit përtej ekosistemit të kripto-aseteve. </w:t>
      </w:r>
    </w:p>
    <w:p w14:paraId="04CCAB25"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2D9F649D" w14:textId="3A8E6BDC"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Kur tregu përballet me skenarë të rëndë, kuadri parashikon Planet e rimëkëmbjes dhe shlyerjes. Plani i rimëkëmbjes detyron emetuesin të përcaktojë masa për të rikthyer përputhshmërinë me kërkesat për rezervën e aseteve, përfshirë ruajtjen e shërbimeve kritike dhe rikuperimin e operacioneve; ndër opsionet e rimëkëmbjes mund të jenë tarifa likuiditeti mbi shlyerjet, kufizime ditore të sasisë së shlyerjeve dhe, në kushtet e përcaktuara nga autoriteti, pezullim i përkohshëm i shlyerjeve në interes të mbajtësve dhe të stabilitetit financiar. Plani i shlyerjes garanton që, në skenar tërheqjeje të autorizimit ose pamundësie të emetuesit për të përmbushur detyrimet, shlyerja e rregullt të kryhet pa dëmtuar mbajtësit apo tregun e aseteve rezervë dhe me administrim të përkohshëm kur nevojitet. Këta mekanizma parandalojnë shndërrimin e episodeve të stresit në kriza sistemike. </w:t>
      </w:r>
    </w:p>
    <w:p w14:paraId="1AE7472F"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56E3AF1B" w14:textId="3ACE6436"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Arkitektura e pagesave plotësohet nga menaxhimi i fondeve dhe sinkronizimi i emetimit/shlyerjes me rezervën. Për tokenin e parasë elektronike, një pjesë minimale depozitash dhe pjesa tjetër në asete të sigurta, shumë likuide, të denominuara në të njëjtën valutë zyrtare si referenca e tokenit, sigurojnë balancë ndërmjet qëndrueshmërisë dhe aksesit të menjëhershëm në likuiditet; ligji kërkon që emëtimi dhe shlyerja të pasqyrohen gjithmonë në lëvizje korresponduese të rezervës së aseteve dhe parashikon auditim periodik dhe raportim te autoritetet. Këto dispozita rrisin disiplinën e përditshme të menaxhimit të likuiditetit dhe krijojnë baza për ndërhyrje të shpejtë supervisory nëse rreziku rritet. </w:t>
      </w:r>
    </w:p>
    <w:p w14:paraId="374FFA39"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77C17100" w14:textId="35A28834"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Në terma të bashkërendimit institucional, kompetencat midis AMF dhe Bankës së Shqipërisë janë të qarta, përfshirë rolin e Bankës së Shqipërisë në kategorizimin dhe mbikëqyrjen e tokenëve me rëndësi të lartë, me afate vendimmarrjeje dhe procedurë njoftimi të specifikuar. Kjo siguron koherencë mes objektivave të stabilitetit financiar dhe atyre të integritetit të tregut dhe i lidh vendimmarrjet rregullatore me ndikimin e tyre në sistemet e pagesave. </w:t>
      </w:r>
    </w:p>
    <w:p w14:paraId="1DA96FB5" w14:textId="77777777" w:rsidR="0016549B" w:rsidRDefault="0016549B" w:rsidP="006A34F8">
      <w:pPr>
        <w:pStyle w:val="ListParagraph"/>
        <w:spacing w:after="0" w:line="276" w:lineRule="auto"/>
        <w:ind w:left="0"/>
        <w:jc w:val="both"/>
        <w:rPr>
          <w:rFonts w:ascii="Times New Roman" w:hAnsi="Times New Roman" w:cs="Times New Roman"/>
          <w:noProof/>
          <w:lang w:val="en-US"/>
        </w:rPr>
      </w:pPr>
    </w:p>
    <w:p w14:paraId="0046D0A6" w14:textId="4ACCAB35"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Së fundi, praktika ndërkombëtare ka treguar se dështimet e mekanizmave “stabilizues” dhe mungesa e rregullimit të fortë mbi shlyerjen dhe rezervën e aseteve kanë prodhuar vrapime dhe humbje të gjera për publikun (p.sh., skenarë si Terra/Luna), ndërsa mungesa e ndarjes pasurore dhe e qeverisjes së likuiditetit ka amplifikuar humbjet në platformat qendrore (p.sh., rastet Celsius/FTX). Projektligji i mbyll këto boshllëqe përmes të drejtave të shlyerjes “në çdo kohë”, rezervave shumë likuide nën kujdestari, planifikimit të rimëkëmbjes/shlyerjes dhe ndalimit të interesit mbi tokenët e parasë elektronike—një kombinim që ul probabilitetin dhe ashpërsinë e shpërthimeve të rrezikut dhe ruan funksionimin e rregullt të pagesave.</w:t>
      </w:r>
    </w:p>
    <w:p w14:paraId="6F80535D"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4DF3C799" w14:textId="77777777" w:rsidR="0016549B" w:rsidRDefault="0016549B" w:rsidP="0016549B">
      <w:pPr>
        <w:pStyle w:val="ListParagraph"/>
        <w:spacing w:after="0" w:line="276" w:lineRule="auto"/>
        <w:jc w:val="both"/>
        <w:rPr>
          <w:rFonts w:ascii="Times New Roman" w:hAnsi="Times New Roman" w:cs="Times New Roman"/>
          <w:b/>
          <w:bCs/>
          <w:noProof/>
          <w:lang w:val="en-US"/>
        </w:rPr>
      </w:pPr>
    </w:p>
    <w:p w14:paraId="6DF88AE7" w14:textId="77777777" w:rsidR="0016549B" w:rsidRDefault="0016549B" w:rsidP="0016549B">
      <w:pPr>
        <w:pStyle w:val="ListParagraph"/>
        <w:spacing w:after="0" w:line="276" w:lineRule="auto"/>
        <w:jc w:val="both"/>
        <w:rPr>
          <w:rFonts w:ascii="Times New Roman" w:hAnsi="Times New Roman" w:cs="Times New Roman"/>
          <w:b/>
          <w:bCs/>
          <w:noProof/>
          <w:lang w:val="en-US"/>
        </w:rPr>
      </w:pPr>
    </w:p>
    <w:p w14:paraId="2936183F" w14:textId="1C3D126C" w:rsidR="006A34F8" w:rsidRDefault="006A34F8" w:rsidP="0016549B">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lastRenderedPageBreak/>
        <w:t>Integriteti i tregut</w:t>
      </w:r>
      <w:r w:rsidRPr="006A34F8">
        <w:rPr>
          <w:rFonts w:ascii="Times New Roman" w:hAnsi="Times New Roman" w:cs="Times New Roman"/>
          <w:noProof/>
          <w:lang w:val="en-US"/>
        </w:rPr>
        <w:t xml:space="preserve"> </w:t>
      </w:r>
    </w:p>
    <w:p w14:paraId="36A98ABC" w14:textId="77777777" w:rsidR="00876D7B" w:rsidRDefault="00876D7B" w:rsidP="0016549B">
      <w:pPr>
        <w:pStyle w:val="ListParagraph"/>
        <w:spacing w:after="0" w:line="276" w:lineRule="auto"/>
        <w:ind w:left="0"/>
        <w:jc w:val="both"/>
        <w:rPr>
          <w:rFonts w:ascii="Times New Roman" w:hAnsi="Times New Roman" w:cs="Times New Roman"/>
          <w:noProof/>
          <w:lang w:val="en-US"/>
        </w:rPr>
      </w:pPr>
    </w:p>
    <w:p w14:paraId="7208920D" w14:textId="09204952"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 xml:space="preserve">Projektligji ndërton një regjim të posaçëm për integritetin e tregut të kripto-aseteve, i cili synon të parandalojë dhe të ndëshkojë sjelljet që </w:t>
      </w:r>
      <w:r>
        <w:rPr>
          <w:rFonts w:ascii="Times New Roman" w:hAnsi="Times New Roman" w:cs="Times New Roman"/>
          <w:noProof/>
          <w:lang w:val="en-US"/>
        </w:rPr>
        <w:t>ndikojnë negativisht në</w:t>
      </w:r>
      <w:r w:rsidRPr="0016549B">
        <w:rPr>
          <w:rFonts w:ascii="Times New Roman" w:hAnsi="Times New Roman" w:cs="Times New Roman"/>
          <w:noProof/>
          <w:lang w:val="en-US"/>
        </w:rPr>
        <w:t xml:space="preserve"> formimin e çmimit dhe dëmtojnë besimin e publikut. Në thelb të këtij regjimi qëndron ndalimi i abuzimit me tregun, duke përfshirë tregtimin me informacion të brendshëm, shpërndarjen e paligjshme të informacionit të brendshëm dhe manipulimin e tregut. Si manipulim konsiderohen, ndër të tjera, sjellje që japin sinjale të rreme ose mashtruese për sasinë, kërkesën ose çmimin, që vendosin çmime në nivele jonormale ose artificiale, që përdorin mjete fiktive apo mashtruese, si dhe shpërndarja përmes mediave (përfshirë internetin) e thashethemeve apo përmbajtjeve që pritet të prodhojnë sinjale të rreme; po ashtu, vendosja, modifikimi apo anulimi i urdhrave në mënyra që ndërpresin funksionimin e platformës ose e bëjnë të vështirë identifikimin e urdhrave realë. Këto tipologji përkufizohen në mënyrë të eksplicite, me qëllim që subjektet e tregut të kenë pritshmëri të qarta rreth sjelljeve të ndaluara dhe autoritetet të kenë bazë të fortë ligjore për ndërhyrje. </w:t>
      </w:r>
    </w:p>
    <w:p w14:paraId="4C64C298"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4DD7F488" w14:textId="354A4D78"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 xml:space="preserve">Për të ulur hapësirën e abuzimit, projektligji i vendos operatorët e platformës së tregtimit për kripto-asete nën detyrime të rrepta organizative dhe teknike. Sistemet e tregtimit duhet të jenë të qëndrueshme, me kapacitet për përballimin e pikut të urdhrave, të garantojnë rend tregtimi edhe në kushte stresi, të refuzojnë urdhrat që tejkalojnë pragje të paracaktuara apo që janë qartësisht të gabuar, të jenë të testuara plotësisht dhe të mbështeten nga marrëveshje efektive të vijueshmërisë së biznesit. </w:t>
      </w:r>
      <w:r>
        <w:rPr>
          <w:rFonts w:ascii="Times New Roman" w:hAnsi="Times New Roman" w:cs="Times New Roman"/>
          <w:noProof/>
          <w:lang w:val="en-US"/>
        </w:rPr>
        <w:t>Gjithashtu</w:t>
      </w:r>
      <w:r w:rsidRPr="0016549B">
        <w:rPr>
          <w:rFonts w:ascii="Times New Roman" w:hAnsi="Times New Roman" w:cs="Times New Roman"/>
          <w:noProof/>
          <w:lang w:val="en-US"/>
        </w:rPr>
        <w:t xml:space="preserve">, platformat duhet të jenë në gjendje të parandalojnë ose zbulojnë abuzimin me tregun dhe të parandalojnë keqpërdorimin për pastrim parash apo financim terrorizmi; detyrimi shtrihet edhe te raportimi te autoriteti përgjegjës sa herë identifikohen raste (apo tentativa) abuzimi në ose përmes sistemeve të tyre. </w:t>
      </w:r>
    </w:p>
    <w:p w14:paraId="5E814BE9"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70CCF054" w14:textId="32B63C55"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Transparenca para dhe pas tregtimit përforcon më tej disiplinën e sjelljes</w:t>
      </w:r>
      <w:r>
        <w:rPr>
          <w:rFonts w:ascii="Times New Roman" w:hAnsi="Times New Roman" w:cs="Times New Roman"/>
          <w:noProof/>
          <w:lang w:val="en-US"/>
        </w:rPr>
        <w:t>. Projektligji parashikon detyrime për</w:t>
      </w:r>
      <w:r w:rsidRPr="0016549B">
        <w:rPr>
          <w:rFonts w:ascii="Times New Roman" w:hAnsi="Times New Roman" w:cs="Times New Roman"/>
          <w:noProof/>
          <w:lang w:val="en-US"/>
        </w:rPr>
        <w:t xml:space="preserve"> operatorët</w:t>
      </w:r>
      <w:r>
        <w:rPr>
          <w:rFonts w:ascii="Times New Roman" w:hAnsi="Times New Roman" w:cs="Times New Roman"/>
          <w:noProof/>
          <w:lang w:val="en-US"/>
        </w:rPr>
        <w:t xml:space="preserve"> të</w:t>
      </w:r>
      <w:r w:rsidRPr="0016549B">
        <w:rPr>
          <w:rFonts w:ascii="Times New Roman" w:hAnsi="Times New Roman" w:cs="Times New Roman"/>
          <w:noProof/>
          <w:lang w:val="en-US"/>
        </w:rPr>
        <w:t xml:space="preserve"> publikojnë çmimet e ofertave dhe kërkesave dhe librin e urdhërave për çmimet e reklamuar, si dhe çmimin, vëllimin dhe kohën e transaksioneve të ekzekutuara. Ky informacion është i disponueshëm vazhdimisht gjatë orëve të tregtimit dhe, pas një periudhe të shkurtër, falas dhe në format të lexueshëm nga kompjuteri, ndërsa ruajtja e të dhënave dhe qasja e paanshme janë të detyrueshme. Kjo transparencë e krahasueshme me tregjet tradicionale kufizon hapësirat për manipulim përmes errësimit të informacionit dhe i lehtëson autoritetit monitorimin e aktivitetit tregtar. </w:t>
      </w:r>
    </w:p>
    <w:p w14:paraId="5C0E0190"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012CA814" w14:textId="7416A5B3"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 xml:space="preserve">Projektligji trajton edhe konfliktet e interesit në mikrostrukturën e tregut. Tregtimi i bazuar në parimin e përputhshmërisë lejohet vetëm nën mbikëqyrje aktive të </w:t>
      </w:r>
      <w:r>
        <w:rPr>
          <w:rFonts w:ascii="Times New Roman" w:hAnsi="Times New Roman" w:cs="Times New Roman"/>
          <w:noProof/>
          <w:lang w:val="en-US"/>
        </w:rPr>
        <w:t>AMF</w:t>
      </w:r>
      <w:r w:rsidRPr="0016549B">
        <w:rPr>
          <w:rFonts w:ascii="Times New Roman" w:hAnsi="Times New Roman" w:cs="Times New Roman"/>
          <w:noProof/>
          <w:lang w:val="en-US"/>
        </w:rPr>
        <w:t xml:space="preserve">, i cili monitoron që ky aktivitet të mbetet brenda përkufizimit dhe të mos krijojë konflikte interesi mes ofruesve dhe klientëve. Ndërkohë, struktura të tarifave duhet të jenë transparente, të drejta dhe të paanshme dhe nuk mund të krijojnë stimuj që nxisin vendosjen, modifikimin apo anulimin e urdhrave në mënyra që prodhojnë kushte të parregullta tregtimi ose abuzim. Këto dispozita presin në rrënjë nxitjet “e </w:t>
      </w:r>
      <w:r w:rsidRPr="0016549B">
        <w:rPr>
          <w:rFonts w:ascii="Times New Roman" w:hAnsi="Times New Roman" w:cs="Times New Roman"/>
          <w:noProof/>
          <w:lang w:val="en-US"/>
        </w:rPr>
        <w:lastRenderedPageBreak/>
        <w:t xml:space="preserve">shtrembëra” që përndryshe do të shfaqeshin në platforma me thellësi të kufizuar të librit të urdhrave. </w:t>
      </w:r>
    </w:p>
    <w:p w14:paraId="3453F99D" w14:textId="77777777" w:rsidR="00B4226C" w:rsidRDefault="00B4226C" w:rsidP="0016549B">
      <w:pPr>
        <w:pStyle w:val="ListParagraph"/>
        <w:spacing w:after="0" w:line="276" w:lineRule="auto"/>
        <w:ind w:left="0"/>
        <w:jc w:val="both"/>
        <w:rPr>
          <w:rFonts w:ascii="Times New Roman" w:hAnsi="Times New Roman" w:cs="Times New Roman"/>
          <w:noProof/>
          <w:lang w:val="en-US"/>
        </w:rPr>
      </w:pPr>
    </w:p>
    <w:p w14:paraId="2938A790" w14:textId="7FD548BA"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Pr>
          <w:rFonts w:ascii="Times New Roman" w:hAnsi="Times New Roman" w:cs="Times New Roman"/>
          <w:noProof/>
          <w:lang w:val="en-US"/>
        </w:rPr>
        <w:t>Për sa i përket</w:t>
      </w:r>
      <w:r w:rsidRPr="0016549B">
        <w:rPr>
          <w:rFonts w:ascii="Times New Roman" w:hAnsi="Times New Roman" w:cs="Times New Roman"/>
          <w:noProof/>
          <w:lang w:val="en-US"/>
        </w:rPr>
        <w:t xml:space="preserve"> </w:t>
      </w:r>
      <w:r>
        <w:rPr>
          <w:rFonts w:ascii="Times New Roman" w:hAnsi="Times New Roman" w:cs="Times New Roman"/>
          <w:noProof/>
          <w:lang w:val="en-US"/>
        </w:rPr>
        <w:t>komunikimeve dhe materialeve promovuese, ato</w:t>
      </w:r>
      <w:r w:rsidRPr="0016549B">
        <w:rPr>
          <w:rFonts w:ascii="Times New Roman" w:hAnsi="Times New Roman" w:cs="Times New Roman"/>
          <w:noProof/>
          <w:lang w:val="en-US"/>
        </w:rPr>
        <w:t xml:space="preserve"> duhet të jenë të konsistente me informacionin e </w:t>
      </w:r>
      <w:r>
        <w:rPr>
          <w:rFonts w:ascii="Times New Roman" w:hAnsi="Times New Roman" w:cs="Times New Roman"/>
          <w:noProof/>
          <w:lang w:val="en-US"/>
        </w:rPr>
        <w:t>dokumentit</w:t>
      </w:r>
      <w:r w:rsidRPr="0016549B">
        <w:rPr>
          <w:rFonts w:ascii="Times New Roman" w:hAnsi="Times New Roman" w:cs="Times New Roman"/>
          <w:noProof/>
          <w:lang w:val="en-US"/>
        </w:rPr>
        <w:t xml:space="preserve"> informues</w:t>
      </w:r>
      <w:r>
        <w:rPr>
          <w:rFonts w:ascii="Times New Roman" w:hAnsi="Times New Roman" w:cs="Times New Roman"/>
          <w:noProof/>
          <w:lang w:val="en-US"/>
        </w:rPr>
        <w:t>, ku pajtueshmëria e tyre vlerësohet nga</w:t>
      </w:r>
      <w:r w:rsidRPr="0016549B">
        <w:rPr>
          <w:rFonts w:ascii="Times New Roman" w:hAnsi="Times New Roman" w:cs="Times New Roman"/>
          <w:noProof/>
          <w:lang w:val="en-US"/>
        </w:rPr>
        <w:t xml:space="preserve"> autoriteti përgjegjës </w:t>
      </w:r>
      <w:r>
        <w:rPr>
          <w:rFonts w:ascii="Times New Roman" w:hAnsi="Times New Roman" w:cs="Times New Roman"/>
          <w:noProof/>
          <w:lang w:val="en-US"/>
        </w:rPr>
        <w:t>i cili</w:t>
      </w:r>
      <w:r w:rsidRPr="0016549B">
        <w:rPr>
          <w:rFonts w:ascii="Times New Roman" w:hAnsi="Times New Roman" w:cs="Times New Roman"/>
          <w:noProof/>
          <w:lang w:val="en-US"/>
        </w:rPr>
        <w:t xml:space="preserve"> mund të përdorë kompetencat mbikëqyrëse dhe hetimore për të garantuar koherencën</w:t>
      </w:r>
      <w:r>
        <w:rPr>
          <w:rFonts w:ascii="Times New Roman" w:hAnsi="Times New Roman" w:cs="Times New Roman"/>
          <w:noProof/>
          <w:lang w:val="en-US"/>
        </w:rPr>
        <w:t xml:space="preserve"> midis dokumentit informues dhe materialeve promovuese</w:t>
      </w:r>
      <w:r w:rsidRPr="0016549B">
        <w:rPr>
          <w:rFonts w:ascii="Times New Roman" w:hAnsi="Times New Roman" w:cs="Times New Roman"/>
          <w:noProof/>
          <w:lang w:val="en-US"/>
        </w:rPr>
        <w:t xml:space="preserve">. </w:t>
      </w:r>
    </w:p>
    <w:p w14:paraId="5A30007D"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7D80FDCD" w14:textId="39D7F290"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 xml:space="preserve">Kompetencat e autoritetit përgjegjës janë </w:t>
      </w:r>
      <w:r>
        <w:rPr>
          <w:rFonts w:ascii="Times New Roman" w:hAnsi="Times New Roman" w:cs="Times New Roman"/>
          <w:noProof/>
          <w:lang w:val="en-US"/>
        </w:rPr>
        <w:t>konceptuar</w:t>
      </w:r>
      <w:r w:rsidRPr="0016549B">
        <w:rPr>
          <w:rFonts w:ascii="Times New Roman" w:hAnsi="Times New Roman" w:cs="Times New Roman"/>
          <w:noProof/>
          <w:lang w:val="en-US"/>
        </w:rPr>
        <w:t xml:space="preserve"> për ndërhyrje të shpejtë dhe efektive. Përveç mjeteve klasike hetimore (akses në dokumente dhe të dhëna, kërkesa informacioni, hyrje në ambiente për sekuestrim, ngrirje/sekuestro asetesht, referim penal), autoriteti mund të kërkojë korrigjimin e informacionit të rremë, të disponojë masa ndalimi të përkohshëm të veprimtarisë profesionale, madje të urdhërojë heqjen ose kufizimin e aksesit në ndërfaqe online (deri te fshirja e dome</w:t>
      </w:r>
      <w:r>
        <w:rPr>
          <w:rFonts w:ascii="Times New Roman" w:hAnsi="Times New Roman" w:cs="Times New Roman"/>
          <w:noProof/>
          <w:lang w:val="en-US"/>
        </w:rPr>
        <w:t>i</w:t>
      </w:r>
      <w:r w:rsidRPr="0016549B">
        <w:rPr>
          <w:rFonts w:ascii="Times New Roman" w:hAnsi="Times New Roman" w:cs="Times New Roman"/>
          <w:noProof/>
          <w:lang w:val="en-US"/>
        </w:rPr>
        <w:t xml:space="preserve">nit) kur kjo është e nevojshme për mbrojtjen e investitorëve dhe integritetin e tregut. Për raste që prekin emetimin e tokenit të aseteve ose tokenit të parasë elektronike, autoriteti mund të kërkojë vendosjen e një sasie minimale emetimi ose kufizime të sasisë së emetuar. </w:t>
      </w:r>
    </w:p>
    <w:p w14:paraId="1205CD32"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5895998B" w14:textId="59A213A1"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Pr>
          <w:rFonts w:ascii="Times New Roman" w:hAnsi="Times New Roman" w:cs="Times New Roman"/>
          <w:noProof/>
          <w:lang w:val="en-US"/>
        </w:rPr>
        <w:t>Projektligji parashikon gjithashtu</w:t>
      </w:r>
      <w:r w:rsidRPr="0016549B">
        <w:rPr>
          <w:rFonts w:ascii="Times New Roman" w:hAnsi="Times New Roman" w:cs="Times New Roman"/>
          <w:noProof/>
          <w:lang w:val="en-US"/>
        </w:rPr>
        <w:t xml:space="preserve"> rregullat për publikimin e vendimeve dhe të drejtën e apelimit. Vendimet sanksionuese publikohen pa vonesë të panevojshme, me detaje mbi natyrën e shkeljes dhe identitetin e subjekteve përgjegjëse, duke rritur efektin parandalues dhe transparencën; njëkohësisht garantohet e drejta e apelimit para gjykatës dhe parashikohen kritere proporcionale për përcaktimin e sanksioneve, duke marrë në konsideratë ashpërsinë, kohëzgjatjen, përfitimet e mundshme dhe ndikimin te klientët</w:t>
      </w:r>
      <w:r>
        <w:rPr>
          <w:rFonts w:ascii="Times New Roman" w:hAnsi="Times New Roman" w:cs="Times New Roman"/>
          <w:noProof/>
          <w:lang w:val="en-US"/>
        </w:rPr>
        <w:t xml:space="preserve">, </w:t>
      </w:r>
      <w:r w:rsidRPr="0016549B">
        <w:rPr>
          <w:rFonts w:ascii="Times New Roman" w:hAnsi="Times New Roman" w:cs="Times New Roman"/>
          <w:noProof/>
          <w:lang w:val="en-US"/>
        </w:rPr>
        <w:t>veçanërisht</w:t>
      </w:r>
      <w:r>
        <w:rPr>
          <w:rFonts w:ascii="Times New Roman" w:hAnsi="Times New Roman" w:cs="Times New Roman"/>
          <w:noProof/>
          <w:lang w:val="en-US"/>
        </w:rPr>
        <w:t xml:space="preserve"> </w:t>
      </w:r>
      <w:r w:rsidRPr="0016549B">
        <w:rPr>
          <w:rFonts w:ascii="Times New Roman" w:hAnsi="Times New Roman" w:cs="Times New Roman"/>
          <w:noProof/>
          <w:lang w:val="en-US"/>
        </w:rPr>
        <w:t xml:space="preserve">klientët joprofesionistë. </w:t>
      </w:r>
    </w:p>
    <w:p w14:paraId="51F30F66"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7E3059A9" w14:textId="2E767210"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 xml:space="preserve">Së fundi, projektligji lidh integritetin e tregut me kushtet e autorizimit dhe vijueshmërisë së veprimtarisë: shkeljet e rënda që prekin mbrojtjen e </w:t>
      </w:r>
      <w:r>
        <w:rPr>
          <w:rFonts w:ascii="Times New Roman" w:hAnsi="Times New Roman" w:cs="Times New Roman"/>
          <w:noProof/>
          <w:lang w:val="en-US"/>
        </w:rPr>
        <w:t>zotërusve të tokenave</w:t>
      </w:r>
      <w:r w:rsidRPr="0016549B">
        <w:rPr>
          <w:rFonts w:ascii="Times New Roman" w:hAnsi="Times New Roman" w:cs="Times New Roman"/>
          <w:noProof/>
          <w:lang w:val="en-US"/>
        </w:rPr>
        <w:t xml:space="preserve"> ose integritetin e tregut përbëjnë bazë për tërheqje ose kufizim të autorizimit të një ofruesi të shërbimeve për kripto-asete, përfshirë kur subjekti dështon të sigurojë sisteme efektive kundër pastrimit të parave apo bie ndesh me detyrimet themelore të këtij ligji. Kjo e bën integritetin jo vetëm objekt të sanksionimit, por edhe kusht të domosdoshëm për të operuar në treg. </w:t>
      </w:r>
    </w:p>
    <w:p w14:paraId="1AF5F408" w14:textId="77777777" w:rsidR="0016549B" w:rsidRDefault="0016549B" w:rsidP="0016549B">
      <w:pPr>
        <w:pStyle w:val="ListParagraph"/>
        <w:spacing w:after="0" w:line="276" w:lineRule="auto"/>
        <w:ind w:left="0"/>
        <w:jc w:val="both"/>
        <w:rPr>
          <w:rFonts w:ascii="Times New Roman" w:hAnsi="Times New Roman" w:cs="Times New Roman"/>
          <w:noProof/>
          <w:lang w:val="en-US"/>
        </w:rPr>
      </w:pPr>
    </w:p>
    <w:p w14:paraId="1FECA561" w14:textId="74A28C86" w:rsidR="0016549B" w:rsidRPr="0016549B" w:rsidRDefault="0016549B" w:rsidP="0016549B">
      <w:pPr>
        <w:pStyle w:val="ListParagraph"/>
        <w:spacing w:after="0" w:line="276" w:lineRule="auto"/>
        <w:ind w:left="0"/>
        <w:jc w:val="both"/>
        <w:rPr>
          <w:rFonts w:ascii="Times New Roman" w:hAnsi="Times New Roman" w:cs="Times New Roman"/>
          <w:noProof/>
          <w:lang w:val="en-US"/>
        </w:rPr>
      </w:pPr>
      <w:r w:rsidRPr="0016549B">
        <w:rPr>
          <w:rFonts w:ascii="Times New Roman" w:hAnsi="Times New Roman" w:cs="Times New Roman"/>
          <w:noProof/>
          <w:lang w:val="en-US"/>
        </w:rPr>
        <w:t>Ky kombinim i ndalimeve të qarta, transparencës së detyrueshme, kërkesave të forta teknike për platformat, kontrollit të komunikimeve promovuese dhe kompetencave të plota mbikëqyrëse e hetimore, e bën tregun më rezilient ndaj abuzimit, ul volatilitetin e panevojshëm nga sjelljet manipuluese dhe përforcon besimin e publikut në cilësinë e formimit të çmimeve dhe në drejtësinë e infrastrukturës së tregtimit.</w:t>
      </w:r>
    </w:p>
    <w:p w14:paraId="37BF0E80" w14:textId="60C7F4D6" w:rsidR="006A34F8" w:rsidRPr="006A34F8" w:rsidRDefault="006A34F8" w:rsidP="006A34F8">
      <w:pPr>
        <w:pStyle w:val="ListParagraph"/>
        <w:spacing w:after="0" w:line="276" w:lineRule="auto"/>
        <w:ind w:left="0"/>
        <w:jc w:val="both"/>
        <w:rPr>
          <w:rFonts w:ascii="Times New Roman" w:hAnsi="Times New Roman" w:cs="Times New Roman"/>
          <w:noProof/>
          <w:lang w:val="en-US"/>
        </w:rPr>
      </w:pPr>
    </w:p>
    <w:p w14:paraId="4D5E9254"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36E09F4E" w14:textId="77777777" w:rsidR="006A34F8" w:rsidRDefault="006A34F8" w:rsidP="006A34F8">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Mbrojtja e klientit dhe asimetria e informacionit.</w:t>
      </w:r>
      <w:r w:rsidRPr="006A34F8">
        <w:rPr>
          <w:rFonts w:ascii="Times New Roman" w:hAnsi="Times New Roman" w:cs="Times New Roman"/>
          <w:noProof/>
          <w:lang w:val="en-US"/>
        </w:rPr>
        <w:t xml:space="preserve"> </w:t>
      </w:r>
    </w:p>
    <w:p w14:paraId="20C430DB" w14:textId="77777777" w:rsidR="006A34F8" w:rsidRDefault="006A34F8" w:rsidP="006A34F8">
      <w:pPr>
        <w:pStyle w:val="ListParagraph"/>
        <w:spacing w:after="0" w:line="276" w:lineRule="auto"/>
        <w:ind w:left="0"/>
        <w:jc w:val="both"/>
        <w:rPr>
          <w:rFonts w:ascii="Times New Roman" w:hAnsi="Times New Roman" w:cs="Times New Roman"/>
          <w:noProof/>
          <w:lang w:val="en-US"/>
        </w:rPr>
      </w:pPr>
    </w:p>
    <w:p w14:paraId="232DAD68" w14:textId="77777777" w:rsidR="00B4226C" w:rsidRDefault="00F003BF" w:rsidP="00F003BF">
      <w:pPr>
        <w:pStyle w:val="ListParagraph"/>
        <w:spacing w:after="0" w:line="276" w:lineRule="auto"/>
        <w:ind w:left="0"/>
        <w:jc w:val="both"/>
        <w:rPr>
          <w:rFonts w:ascii="Times New Roman" w:hAnsi="Times New Roman" w:cs="Times New Roman"/>
          <w:noProof/>
          <w:lang w:val="en-US"/>
        </w:rPr>
      </w:pPr>
      <w:r w:rsidRPr="00F003BF">
        <w:rPr>
          <w:rFonts w:ascii="Times New Roman" w:hAnsi="Times New Roman" w:cs="Times New Roman"/>
          <w:noProof/>
          <w:lang w:val="en-US"/>
        </w:rPr>
        <w:lastRenderedPageBreak/>
        <w:t xml:space="preserve">Projektligji e vendos </w:t>
      </w:r>
      <w:r>
        <w:rPr>
          <w:rFonts w:ascii="Times New Roman" w:hAnsi="Times New Roman" w:cs="Times New Roman"/>
          <w:noProof/>
          <w:lang w:val="en-US"/>
        </w:rPr>
        <w:t>dokumentin informues</w:t>
      </w:r>
      <w:r w:rsidRPr="00F003BF">
        <w:rPr>
          <w:rFonts w:ascii="Times New Roman" w:hAnsi="Times New Roman" w:cs="Times New Roman"/>
          <w:noProof/>
          <w:lang w:val="en-US"/>
        </w:rPr>
        <w:t xml:space="preserve"> të kripto-asetit si instrumentin qendror të transparencës dhe llogaridhënies, përmes të cilit adresohet drejtpërdrejt asimetria e informacionit ndaj publikut, veçanërisht klientëve joprofesionistë. P</w:t>
      </w:r>
      <w:r w:rsidR="00B4226C">
        <w:rPr>
          <w:rFonts w:ascii="Times New Roman" w:hAnsi="Times New Roman" w:cs="Times New Roman"/>
          <w:noProof/>
          <w:lang w:val="en-US"/>
        </w:rPr>
        <w:t>ërp</w:t>
      </w:r>
      <w:r w:rsidRPr="00F003BF">
        <w:rPr>
          <w:rFonts w:ascii="Times New Roman" w:hAnsi="Times New Roman" w:cs="Times New Roman"/>
          <w:noProof/>
          <w:lang w:val="en-US"/>
        </w:rPr>
        <w:t xml:space="preserve">ara se një kripto-aset të ofrohet ndaj publikut ose të kërkohet pranimi për tregtim, subjekti përkatës duhet të hartojë, të njoftojë te autoriteti përgjegjës dhe të publikojë një </w:t>
      </w:r>
      <w:r w:rsidR="00B4226C">
        <w:rPr>
          <w:rFonts w:ascii="Times New Roman" w:hAnsi="Times New Roman" w:cs="Times New Roman"/>
          <w:noProof/>
          <w:lang w:val="en-US"/>
        </w:rPr>
        <w:t>d</w:t>
      </w:r>
      <w:r>
        <w:rPr>
          <w:rFonts w:ascii="Times New Roman" w:hAnsi="Times New Roman" w:cs="Times New Roman"/>
          <w:noProof/>
          <w:lang w:val="en-US"/>
        </w:rPr>
        <w:t>okument informues</w:t>
      </w:r>
      <w:r w:rsidRPr="00F003BF">
        <w:rPr>
          <w:rFonts w:ascii="Times New Roman" w:hAnsi="Times New Roman" w:cs="Times New Roman"/>
          <w:noProof/>
          <w:lang w:val="en-US"/>
        </w:rPr>
        <w:t xml:space="preserve"> në përputhje me kërkesat e </w:t>
      </w:r>
      <w:r w:rsidR="00B4226C">
        <w:rPr>
          <w:rFonts w:ascii="Times New Roman" w:hAnsi="Times New Roman" w:cs="Times New Roman"/>
          <w:noProof/>
          <w:lang w:val="en-US"/>
        </w:rPr>
        <w:t>projekt</w:t>
      </w:r>
      <w:r w:rsidRPr="00F003BF">
        <w:rPr>
          <w:rFonts w:ascii="Times New Roman" w:hAnsi="Times New Roman" w:cs="Times New Roman"/>
          <w:noProof/>
          <w:lang w:val="en-US"/>
        </w:rPr>
        <w:t>ligjit</w:t>
      </w:r>
      <w:r w:rsidR="00B4226C">
        <w:rPr>
          <w:rFonts w:ascii="Times New Roman" w:hAnsi="Times New Roman" w:cs="Times New Roman"/>
          <w:noProof/>
          <w:lang w:val="en-US"/>
        </w:rPr>
        <w:t>.</w:t>
      </w:r>
    </w:p>
    <w:p w14:paraId="135B7D8C" w14:textId="77777777" w:rsidR="00B4226C" w:rsidRDefault="00B4226C" w:rsidP="00F003BF">
      <w:pPr>
        <w:pStyle w:val="ListParagraph"/>
        <w:spacing w:after="0" w:line="276" w:lineRule="auto"/>
        <w:ind w:left="0"/>
        <w:jc w:val="both"/>
        <w:rPr>
          <w:rFonts w:ascii="Times New Roman" w:hAnsi="Times New Roman" w:cs="Times New Roman"/>
          <w:noProof/>
          <w:lang w:val="en-US"/>
        </w:rPr>
      </w:pPr>
    </w:p>
    <w:p w14:paraId="0EAC5400" w14:textId="1870EE99" w:rsidR="00F003BF" w:rsidRDefault="00B4226C" w:rsidP="00F003BF">
      <w:pPr>
        <w:pStyle w:val="ListParagraph"/>
        <w:spacing w:after="0" w:line="276" w:lineRule="auto"/>
        <w:ind w:left="0"/>
        <w:jc w:val="both"/>
        <w:rPr>
          <w:rFonts w:ascii="Times New Roman" w:hAnsi="Times New Roman" w:cs="Times New Roman"/>
          <w:noProof/>
          <w:lang w:val="en-US"/>
        </w:rPr>
      </w:pPr>
      <w:r w:rsidRPr="00B4226C">
        <w:rPr>
          <w:rFonts w:ascii="Times New Roman" w:hAnsi="Times New Roman" w:cs="Times New Roman"/>
          <w:noProof/>
        </w:rPr>
        <w:t xml:space="preserve">Dokumenti informues është i strukturuar dhe standardizuar për të garantuar </w:t>
      </w:r>
      <w:r>
        <w:rPr>
          <w:rFonts w:ascii="Times New Roman" w:hAnsi="Times New Roman" w:cs="Times New Roman"/>
          <w:noProof/>
        </w:rPr>
        <w:t xml:space="preserve">kuptueshmëri edhe nga klientët joprofesionistë, duke </w:t>
      </w:r>
      <w:r w:rsidRPr="00B4226C">
        <w:rPr>
          <w:rFonts w:ascii="Times New Roman" w:hAnsi="Times New Roman" w:cs="Times New Roman"/>
          <w:noProof/>
        </w:rPr>
        <w:t>përmba</w:t>
      </w:r>
      <w:r>
        <w:rPr>
          <w:rFonts w:ascii="Times New Roman" w:hAnsi="Times New Roman" w:cs="Times New Roman"/>
          <w:noProof/>
        </w:rPr>
        <w:t>jtur</w:t>
      </w:r>
      <w:r w:rsidRPr="00B4226C">
        <w:rPr>
          <w:rFonts w:ascii="Times New Roman" w:hAnsi="Times New Roman" w:cs="Times New Roman"/>
          <w:noProof/>
        </w:rPr>
        <w:t xml:space="preserve"> të dhëna mbi subjektin ofertues/emetues, përshkrimin e kripto-asetit dhe të drejtave të lidhura me të, funksionalitetin dhe përdorimet e synuara, si dhe shpjegime të qarta për teknologjinë e regjistrave të shpërndarë dhe mekanizmin e konsensusit që mbështesin projektin</w:t>
      </w:r>
      <w:r>
        <w:rPr>
          <w:rFonts w:ascii="Times New Roman" w:hAnsi="Times New Roman" w:cs="Times New Roman"/>
          <w:noProof/>
          <w:lang w:val="en-US"/>
        </w:rPr>
        <w:t>. Projektligji e ndalon hartuesin e dokumentit informues të përfshijë</w:t>
      </w:r>
      <w:r w:rsidR="00F003BF">
        <w:rPr>
          <w:rFonts w:ascii="Times New Roman" w:hAnsi="Times New Roman" w:cs="Times New Roman"/>
          <w:noProof/>
          <w:lang w:val="en-US"/>
        </w:rPr>
        <w:t xml:space="preserve"> </w:t>
      </w:r>
      <w:r w:rsidR="00F003BF" w:rsidRPr="00F003BF">
        <w:rPr>
          <w:rFonts w:ascii="Times New Roman" w:hAnsi="Times New Roman" w:cs="Times New Roman"/>
          <w:noProof/>
          <w:lang w:val="en-US"/>
        </w:rPr>
        <w:t>deklarata</w:t>
      </w:r>
      <w:r w:rsidR="00F003BF">
        <w:rPr>
          <w:rFonts w:ascii="Times New Roman" w:hAnsi="Times New Roman" w:cs="Times New Roman"/>
          <w:noProof/>
          <w:lang w:val="en-US"/>
        </w:rPr>
        <w:t xml:space="preserve"> hipotetike mbi</w:t>
      </w:r>
      <w:r w:rsidR="00F003BF" w:rsidRPr="00F003BF">
        <w:rPr>
          <w:rFonts w:ascii="Times New Roman" w:hAnsi="Times New Roman" w:cs="Times New Roman"/>
          <w:noProof/>
          <w:lang w:val="en-US"/>
        </w:rPr>
        <w:t xml:space="preserve"> për vlerën e ardhshme të kripto-asetit jashtë kornizës së lejuar</w:t>
      </w:r>
      <w:r w:rsidR="00F003BF">
        <w:rPr>
          <w:rFonts w:ascii="Times New Roman" w:hAnsi="Times New Roman" w:cs="Times New Roman"/>
          <w:noProof/>
          <w:lang w:val="en-US"/>
        </w:rPr>
        <w:t>. Dokumenti informues gjithashtu</w:t>
      </w:r>
      <w:r w:rsidR="00F003BF" w:rsidRPr="00F003BF">
        <w:rPr>
          <w:rFonts w:ascii="Times New Roman" w:hAnsi="Times New Roman" w:cs="Times New Roman"/>
          <w:noProof/>
          <w:lang w:val="en-US"/>
        </w:rPr>
        <w:t xml:space="preserve"> përmban paralajmërime të detyruara mbi humbjen e mundshme të vlerës</w:t>
      </w:r>
      <w:r w:rsidR="00F003BF">
        <w:rPr>
          <w:rFonts w:ascii="Times New Roman" w:hAnsi="Times New Roman" w:cs="Times New Roman"/>
          <w:noProof/>
          <w:lang w:val="en-US"/>
        </w:rPr>
        <w:t xml:space="preserve"> së tokenit</w:t>
      </w:r>
      <w:r w:rsidR="00F003BF" w:rsidRPr="00F003BF">
        <w:rPr>
          <w:rFonts w:ascii="Times New Roman" w:hAnsi="Times New Roman" w:cs="Times New Roman"/>
          <w:noProof/>
          <w:lang w:val="en-US"/>
        </w:rPr>
        <w:t xml:space="preserve">, </w:t>
      </w:r>
      <w:r w:rsidR="00F003BF">
        <w:rPr>
          <w:rFonts w:ascii="Times New Roman" w:hAnsi="Times New Roman" w:cs="Times New Roman"/>
          <w:noProof/>
          <w:lang w:val="en-US"/>
        </w:rPr>
        <w:t>pamundësisë potenciale të</w:t>
      </w:r>
      <w:r w:rsidR="00F003BF" w:rsidRPr="00F003BF">
        <w:rPr>
          <w:rFonts w:ascii="Times New Roman" w:hAnsi="Times New Roman" w:cs="Times New Roman"/>
          <w:noProof/>
          <w:lang w:val="en-US"/>
        </w:rPr>
        <w:t xml:space="preserve"> transferueshmërisë dhe likuiditetit, si dhe </w:t>
      </w:r>
      <w:r>
        <w:rPr>
          <w:rFonts w:ascii="Times New Roman" w:hAnsi="Times New Roman" w:cs="Times New Roman"/>
          <w:noProof/>
          <w:lang w:val="en-US"/>
        </w:rPr>
        <w:t>informimin</w:t>
      </w:r>
      <w:r w:rsidR="00F003BF" w:rsidRPr="00F003BF">
        <w:rPr>
          <w:rFonts w:ascii="Times New Roman" w:hAnsi="Times New Roman" w:cs="Times New Roman"/>
          <w:noProof/>
          <w:lang w:val="en-US"/>
        </w:rPr>
        <w:t xml:space="preserve"> </w:t>
      </w:r>
      <w:r w:rsidR="00F003BF">
        <w:rPr>
          <w:rFonts w:ascii="Times New Roman" w:hAnsi="Times New Roman" w:cs="Times New Roman"/>
          <w:noProof/>
          <w:lang w:val="en-US"/>
        </w:rPr>
        <w:t xml:space="preserve">e publikut </w:t>
      </w:r>
      <w:r w:rsidR="00F003BF" w:rsidRPr="00F003BF">
        <w:rPr>
          <w:rFonts w:ascii="Times New Roman" w:hAnsi="Times New Roman" w:cs="Times New Roman"/>
          <w:noProof/>
          <w:lang w:val="en-US"/>
        </w:rPr>
        <w:t xml:space="preserve">se kripto-asetet nuk mbulohen nga skemat e kompensimit të investitorëve dhe as nga skemat e garancisë së depozitave. </w:t>
      </w:r>
    </w:p>
    <w:p w14:paraId="56D448D8" w14:textId="77777777" w:rsidR="00F003BF" w:rsidRPr="00F003BF" w:rsidRDefault="00F003BF" w:rsidP="00F003BF">
      <w:pPr>
        <w:pStyle w:val="ListParagraph"/>
        <w:spacing w:after="0" w:line="276" w:lineRule="auto"/>
        <w:ind w:left="0"/>
        <w:jc w:val="both"/>
        <w:rPr>
          <w:rFonts w:ascii="Times New Roman" w:hAnsi="Times New Roman" w:cs="Times New Roman"/>
          <w:noProof/>
          <w:lang w:val="en-US"/>
        </w:rPr>
      </w:pPr>
    </w:p>
    <w:p w14:paraId="041F2FD6" w14:textId="56C123DC" w:rsidR="00F003BF" w:rsidRDefault="00F003BF" w:rsidP="00F003BF">
      <w:pPr>
        <w:pStyle w:val="ListParagraph"/>
        <w:spacing w:after="0" w:line="276" w:lineRule="auto"/>
        <w:ind w:left="0"/>
        <w:jc w:val="both"/>
        <w:rPr>
          <w:rFonts w:ascii="Times New Roman" w:hAnsi="Times New Roman" w:cs="Times New Roman"/>
          <w:noProof/>
          <w:lang w:val="en-US"/>
        </w:rPr>
      </w:pPr>
      <w:r w:rsidRPr="00F003BF">
        <w:rPr>
          <w:rFonts w:ascii="Times New Roman" w:hAnsi="Times New Roman" w:cs="Times New Roman"/>
          <w:noProof/>
          <w:lang w:val="en-US"/>
        </w:rPr>
        <w:t xml:space="preserve">Për kripto-asetet e ndryshme nga tokeni i asetit dhe tokeni i parasë elektronike, kushtet paraprake të ofertës ndaj publikut dhe të pranimit për tregtim e bëjnë </w:t>
      </w:r>
      <w:r>
        <w:rPr>
          <w:rFonts w:ascii="Times New Roman" w:hAnsi="Times New Roman" w:cs="Times New Roman"/>
          <w:noProof/>
          <w:lang w:val="en-US"/>
        </w:rPr>
        <w:t>dokumentin informues</w:t>
      </w:r>
      <w:r w:rsidRPr="00F003BF">
        <w:rPr>
          <w:rFonts w:ascii="Times New Roman" w:hAnsi="Times New Roman" w:cs="Times New Roman"/>
          <w:noProof/>
          <w:lang w:val="en-US"/>
        </w:rPr>
        <w:t xml:space="preserve"> dhe përputhshmërinë e materialeve promovuese elemente themelore të mbrojtjes së klientit: pa to, oferta/listimi nuk lejohet. Këto kërkesa vlejnë edhe kur </w:t>
      </w:r>
      <w:r>
        <w:rPr>
          <w:rFonts w:ascii="Times New Roman" w:hAnsi="Times New Roman" w:cs="Times New Roman"/>
          <w:noProof/>
          <w:lang w:val="en-US"/>
        </w:rPr>
        <w:t>dokumenti informues</w:t>
      </w:r>
      <w:r w:rsidRPr="00F003BF">
        <w:rPr>
          <w:rFonts w:ascii="Times New Roman" w:hAnsi="Times New Roman" w:cs="Times New Roman"/>
          <w:noProof/>
          <w:lang w:val="en-US"/>
        </w:rPr>
        <w:t xml:space="preserve"> hartohet vullnetarisht, duke ruajtur një standard të njëjtë transparence. </w:t>
      </w:r>
    </w:p>
    <w:p w14:paraId="67CDD800" w14:textId="77777777" w:rsidR="00B4226C" w:rsidRDefault="00B4226C" w:rsidP="00F003BF">
      <w:pPr>
        <w:pStyle w:val="ListParagraph"/>
        <w:spacing w:after="0" w:line="276" w:lineRule="auto"/>
        <w:ind w:left="0"/>
        <w:jc w:val="both"/>
        <w:rPr>
          <w:rFonts w:ascii="Times New Roman" w:hAnsi="Times New Roman" w:cs="Times New Roman"/>
          <w:noProof/>
          <w:lang w:val="en-US"/>
        </w:rPr>
      </w:pPr>
    </w:p>
    <w:p w14:paraId="7C26A89B" w14:textId="2FF67366" w:rsidR="00B4226C" w:rsidRPr="00B4226C" w:rsidRDefault="00B4226C" w:rsidP="00F003BF">
      <w:pPr>
        <w:pStyle w:val="ListParagraph"/>
        <w:spacing w:after="0" w:line="276" w:lineRule="auto"/>
        <w:ind w:left="0"/>
        <w:jc w:val="both"/>
        <w:rPr>
          <w:rFonts w:ascii="Times New Roman" w:hAnsi="Times New Roman" w:cs="Times New Roman"/>
          <w:noProof/>
          <w:lang w:val="en-US"/>
        </w:rPr>
      </w:pPr>
      <w:r w:rsidRPr="00B4226C">
        <w:rPr>
          <w:rFonts w:ascii="Times New Roman" w:hAnsi="Times New Roman" w:cs="Times New Roman"/>
          <w:noProof/>
        </w:rPr>
        <w:t xml:space="preserve">Për kripto-asetet që mbështeten nga rezerva e aseteve, dokumenti informues përfshin seksione të posaçme mbi kornizën e shlyerjes, rregullat e vlerësimit dhe politikën e likuiditetit, përbërjen dhe kriteret e rezervës së aseteve, kujdestarinë dhe </w:t>
      </w:r>
      <w:r>
        <w:rPr>
          <w:rFonts w:ascii="Times New Roman" w:hAnsi="Times New Roman" w:cs="Times New Roman"/>
          <w:noProof/>
        </w:rPr>
        <w:t>veçimin e</w:t>
      </w:r>
      <w:r w:rsidRPr="00B4226C">
        <w:rPr>
          <w:rFonts w:ascii="Times New Roman" w:hAnsi="Times New Roman" w:cs="Times New Roman"/>
          <w:noProof/>
        </w:rPr>
        <w:t xml:space="preserve"> kësaj rezerve, si dhe pasojat në skenarë stresi (p.sh. kufizime operacionale, pezullime të përkohshme të shlyerjes sipas kushteve të ligjit, apo zbatimi i planit të rimëkëmbjes/shlyerjes kur është i parashikuar). </w:t>
      </w:r>
    </w:p>
    <w:p w14:paraId="516DA88E" w14:textId="77777777" w:rsidR="00F003BF" w:rsidRPr="00F003BF" w:rsidRDefault="00F003BF" w:rsidP="00F003BF">
      <w:pPr>
        <w:pStyle w:val="ListParagraph"/>
        <w:spacing w:after="0" w:line="276" w:lineRule="auto"/>
        <w:ind w:left="0"/>
        <w:jc w:val="both"/>
        <w:rPr>
          <w:rFonts w:ascii="Times New Roman" w:hAnsi="Times New Roman" w:cs="Times New Roman"/>
          <w:noProof/>
          <w:lang w:val="en-US"/>
        </w:rPr>
      </w:pPr>
    </w:p>
    <w:p w14:paraId="3B7AE22F" w14:textId="04AF505F" w:rsidR="00F003BF" w:rsidRPr="00F003BF" w:rsidRDefault="00F003BF" w:rsidP="00F003BF">
      <w:pPr>
        <w:pStyle w:val="ListParagraph"/>
        <w:spacing w:after="0" w:line="276" w:lineRule="auto"/>
        <w:ind w:left="0"/>
        <w:jc w:val="both"/>
        <w:rPr>
          <w:rFonts w:ascii="Times New Roman" w:hAnsi="Times New Roman" w:cs="Times New Roman"/>
          <w:noProof/>
          <w:lang w:val="en-US"/>
        </w:rPr>
      </w:pPr>
      <w:r w:rsidRPr="00F003BF">
        <w:rPr>
          <w:rFonts w:ascii="Times New Roman" w:hAnsi="Times New Roman" w:cs="Times New Roman"/>
          <w:noProof/>
          <w:lang w:val="en-US"/>
        </w:rPr>
        <w:t xml:space="preserve">Regjimi i përgjegjësisë civile e bën të zbatueshme llogaridhënien </w:t>
      </w:r>
      <w:r w:rsidR="00B4226C">
        <w:rPr>
          <w:rFonts w:ascii="Times New Roman" w:hAnsi="Times New Roman" w:cs="Times New Roman"/>
          <w:noProof/>
          <w:lang w:val="en-US"/>
        </w:rPr>
        <w:t>n</w:t>
      </w:r>
      <w:r w:rsidRPr="00F003BF">
        <w:rPr>
          <w:rFonts w:ascii="Times New Roman" w:hAnsi="Times New Roman" w:cs="Times New Roman"/>
          <w:noProof/>
          <w:lang w:val="en-US"/>
        </w:rPr>
        <w:t>ë</w:t>
      </w:r>
      <w:r w:rsidR="00B4226C">
        <w:rPr>
          <w:rFonts w:ascii="Times New Roman" w:hAnsi="Times New Roman" w:cs="Times New Roman"/>
          <w:noProof/>
          <w:lang w:val="en-US"/>
        </w:rPr>
        <w:t xml:space="preserve"> lidhje me</w:t>
      </w:r>
      <w:r w:rsidRPr="00F003BF">
        <w:rPr>
          <w:rFonts w:ascii="Times New Roman" w:hAnsi="Times New Roman" w:cs="Times New Roman"/>
          <w:noProof/>
          <w:lang w:val="en-US"/>
        </w:rPr>
        <w:t xml:space="preserve"> përmbajtjen e </w:t>
      </w:r>
      <w:r w:rsidR="00B4226C">
        <w:rPr>
          <w:rFonts w:ascii="Times New Roman" w:hAnsi="Times New Roman" w:cs="Times New Roman"/>
          <w:noProof/>
          <w:lang w:val="en-US"/>
        </w:rPr>
        <w:t>d</w:t>
      </w:r>
      <w:r>
        <w:rPr>
          <w:rFonts w:ascii="Times New Roman" w:hAnsi="Times New Roman" w:cs="Times New Roman"/>
          <w:noProof/>
          <w:lang w:val="en-US"/>
        </w:rPr>
        <w:t>okumentit informues</w:t>
      </w:r>
      <w:r w:rsidRPr="00F003BF">
        <w:rPr>
          <w:rFonts w:ascii="Times New Roman" w:hAnsi="Times New Roman" w:cs="Times New Roman"/>
          <w:noProof/>
          <w:lang w:val="en-US"/>
        </w:rPr>
        <w:t xml:space="preserve">. Kur informacioni i dhënë në </w:t>
      </w:r>
      <w:r>
        <w:rPr>
          <w:rFonts w:ascii="Times New Roman" w:hAnsi="Times New Roman" w:cs="Times New Roman"/>
          <w:noProof/>
          <w:lang w:val="en-US"/>
        </w:rPr>
        <w:t>dokumentin informues</w:t>
      </w:r>
      <w:r w:rsidRPr="00F003BF">
        <w:rPr>
          <w:rFonts w:ascii="Times New Roman" w:hAnsi="Times New Roman" w:cs="Times New Roman"/>
          <w:noProof/>
          <w:lang w:val="en-US"/>
        </w:rPr>
        <w:t xml:space="preserve"> (ose në versionin e tij të ndryshuar) nuk është i plotë, i drejtë ose i qartë, apo është k</w:t>
      </w:r>
      <w:r>
        <w:rPr>
          <w:rFonts w:ascii="Times New Roman" w:hAnsi="Times New Roman" w:cs="Times New Roman"/>
          <w:noProof/>
          <w:lang w:val="en-US"/>
        </w:rPr>
        <w:t>eqorientues</w:t>
      </w:r>
      <w:r w:rsidRPr="00F003BF">
        <w:rPr>
          <w:rFonts w:ascii="Times New Roman" w:hAnsi="Times New Roman" w:cs="Times New Roman"/>
          <w:noProof/>
          <w:lang w:val="en-US"/>
        </w:rPr>
        <w:t xml:space="preserve">, emetuesi (dhe, sipas rastit, anëtarët e </w:t>
      </w:r>
      <w:r w:rsidR="00B4226C">
        <w:rPr>
          <w:rFonts w:ascii="Times New Roman" w:hAnsi="Times New Roman" w:cs="Times New Roman"/>
          <w:noProof/>
          <w:lang w:val="en-US"/>
        </w:rPr>
        <w:t>organit</w:t>
      </w:r>
      <w:r w:rsidRPr="00F003BF">
        <w:rPr>
          <w:rFonts w:ascii="Times New Roman" w:hAnsi="Times New Roman" w:cs="Times New Roman"/>
          <w:noProof/>
          <w:lang w:val="en-US"/>
        </w:rPr>
        <w:t xml:space="preserve"> drejtues) mbajnë përgjegjësi ndaj mbajtësve për humbjet e pësuara</w:t>
      </w:r>
      <w:r w:rsidR="00B4226C">
        <w:rPr>
          <w:rFonts w:ascii="Times New Roman" w:hAnsi="Times New Roman" w:cs="Times New Roman"/>
          <w:noProof/>
          <w:lang w:val="en-US"/>
        </w:rPr>
        <w:t xml:space="preserve"> dhe</w:t>
      </w:r>
      <w:r w:rsidRPr="00F003BF">
        <w:rPr>
          <w:rFonts w:ascii="Times New Roman" w:hAnsi="Times New Roman" w:cs="Times New Roman"/>
          <w:noProof/>
          <w:lang w:val="en-US"/>
        </w:rPr>
        <w:t xml:space="preserve"> çdo përpjekje për të kufizuar kontraktualisht këtë përgjegjësi është juridikisht e pavlefshme. </w:t>
      </w:r>
    </w:p>
    <w:p w14:paraId="364F67BE" w14:textId="77777777" w:rsidR="00B4226C" w:rsidRDefault="00B4226C" w:rsidP="00F003BF">
      <w:pPr>
        <w:pStyle w:val="ListParagraph"/>
        <w:spacing w:after="0" w:line="276" w:lineRule="auto"/>
        <w:ind w:left="0"/>
        <w:jc w:val="both"/>
        <w:rPr>
          <w:rFonts w:ascii="Times New Roman" w:hAnsi="Times New Roman" w:cs="Times New Roman"/>
          <w:noProof/>
          <w:lang w:val="en-US"/>
        </w:rPr>
      </w:pPr>
    </w:p>
    <w:p w14:paraId="20CA232C" w14:textId="24B734D2" w:rsidR="00B4226C" w:rsidRDefault="00F003BF" w:rsidP="00B4226C">
      <w:pPr>
        <w:pStyle w:val="ListParagraph"/>
        <w:spacing w:after="0" w:line="276" w:lineRule="auto"/>
        <w:ind w:left="0"/>
        <w:jc w:val="both"/>
        <w:rPr>
          <w:rFonts w:ascii="Times New Roman" w:hAnsi="Times New Roman" w:cs="Times New Roman"/>
          <w:noProof/>
          <w:lang w:val="en-US"/>
        </w:rPr>
      </w:pPr>
      <w:r w:rsidRPr="00F003BF">
        <w:rPr>
          <w:rFonts w:ascii="Times New Roman" w:hAnsi="Times New Roman" w:cs="Times New Roman"/>
          <w:noProof/>
          <w:lang w:val="en-US"/>
        </w:rPr>
        <w:t>Mbrojtja e klientit vijon edhe pas publikimit</w:t>
      </w:r>
      <w:r w:rsidR="00B4226C" w:rsidRPr="00B4226C">
        <w:rPr>
          <w:rFonts w:ascii="Times New Roman" w:hAnsi="Times New Roman" w:cs="Times New Roman"/>
          <w:noProof/>
          <w:lang w:val="en-US"/>
        </w:rPr>
        <w:t xml:space="preserve">. </w:t>
      </w:r>
      <w:r w:rsidR="00B4226C" w:rsidRPr="00B4226C">
        <w:rPr>
          <w:rFonts w:ascii="Times New Roman" w:hAnsi="Times New Roman" w:cs="Times New Roman"/>
          <w:noProof/>
        </w:rPr>
        <w:t xml:space="preserve">. Sa herë që shfaqet një faktor i ri thelbësor, një gabim ose pasaktësi materiale që mund të ndikojë në vlerësimin e kripto-asetit, subjekti detyrimisht e ndryshon dokumentin informues dhe përshtat komunikimet përkatëse, duke njoftuar paraprakisht autoritetin përgjegjës dhe informuar menjëherë publikun në datën e publikimit. Kështu, </w:t>
      </w:r>
      <w:r w:rsidR="00B4226C" w:rsidRPr="00B4226C">
        <w:rPr>
          <w:rFonts w:ascii="Times New Roman" w:hAnsi="Times New Roman" w:cs="Times New Roman"/>
          <w:noProof/>
        </w:rPr>
        <w:lastRenderedPageBreak/>
        <w:t>transparenca bëhet një detyrim i vazhdueshëm për gjithë kohëzgjatjen e ofertës dhe ndërsa kripto-aseti është i pranuar për tregtim.</w:t>
      </w:r>
      <w:r w:rsidR="00FB347E">
        <w:rPr>
          <w:rFonts w:ascii="Times New Roman" w:hAnsi="Times New Roman" w:cs="Times New Roman"/>
          <w:noProof/>
          <w:lang w:val="en-US"/>
        </w:rPr>
        <w:t xml:space="preserve"> </w:t>
      </w:r>
      <w:r w:rsidR="00B4226C" w:rsidRPr="00B4226C">
        <w:rPr>
          <w:rFonts w:ascii="Times New Roman" w:hAnsi="Times New Roman" w:cs="Times New Roman"/>
          <w:noProof/>
          <w:lang w:val="en-US"/>
        </w:rPr>
        <w:t>Për të garantuar koherencë të plotë</w:t>
      </w:r>
      <w:r w:rsidR="00FB347E">
        <w:rPr>
          <w:rFonts w:ascii="Times New Roman" w:hAnsi="Times New Roman" w:cs="Times New Roman"/>
          <w:noProof/>
          <w:lang w:val="en-US"/>
        </w:rPr>
        <w:t xml:space="preserve"> me dokumentin informues, materialet promovuese të publikuara </w:t>
      </w:r>
      <w:r w:rsidR="00B4226C" w:rsidRPr="00B4226C">
        <w:rPr>
          <w:rFonts w:ascii="Times New Roman" w:hAnsi="Times New Roman" w:cs="Times New Roman"/>
          <w:noProof/>
          <w:lang w:val="en-US"/>
        </w:rPr>
        <w:t xml:space="preserve">nuk mund të </w:t>
      </w:r>
      <w:r w:rsidR="00FB347E">
        <w:rPr>
          <w:rFonts w:ascii="Times New Roman" w:hAnsi="Times New Roman" w:cs="Times New Roman"/>
          <w:noProof/>
          <w:lang w:val="en-US"/>
        </w:rPr>
        <w:t xml:space="preserve">bien ndesh ose </w:t>
      </w:r>
      <w:r w:rsidR="00B4226C" w:rsidRPr="00B4226C">
        <w:rPr>
          <w:rFonts w:ascii="Times New Roman" w:hAnsi="Times New Roman" w:cs="Times New Roman"/>
          <w:noProof/>
          <w:lang w:val="en-US"/>
        </w:rPr>
        <w:t xml:space="preserve">të tejkalojnë dokumentin informues. Autoriteti përgjegjës ka kompetencë të pezullojë ose ndalojë komunikimet që bien ndesh, të kërkojë publikimin e informacionit shtesë, dhe të informojë publikun për mospërputhje kur kjo është e nevojshme për mbrojtjen e klientëve joprofesionistë dhe mbarëvajtjen e tregut. </w:t>
      </w:r>
    </w:p>
    <w:p w14:paraId="1423F8CA" w14:textId="77777777" w:rsidR="00FB347E" w:rsidRPr="00B4226C" w:rsidRDefault="00FB347E" w:rsidP="00B4226C">
      <w:pPr>
        <w:pStyle w:val="ListParagraph"/>
        <w:spacing w:after="0" w:line="276" w:lineRule="auto"/>
        <w:ind w:left="0"/>
        <w:jc w:val="both"/>
        <w:rPr>
          <w:rFonts w:ascii="Times New Roman" w:hAnsi="Times New Roman" w:cs="Times New Roman"/>
          <w:noProof/>
          <w:lang w:val="en-US"/>
        </w:rPr>
      </w:pPr>
    </w:p>
    <w:p w14:paraId="1E3C6708" w14:textId="77777777" w:rsidR="006A34F8" w:rsidRPr="006A34F8" w:rsidRDefault="006A34F8" w:rsidP="006A34F8">
      <w:pPr>
        <w:pStyle w:val="ListParagraph"/>
        <w:spacing w:after="0" w:line="276" w:lineRule="auto"/>
        <w:ind w:left="0"/>
        <w:jc w:val="both"/>
        <w:rPr>
          <w:rFonts w:ascii="Times New Roman" w:hAnsi="Times New Roman" w:cs="Times New Roman"/>
          <w:noProof/>
          <w:lang w:val="en-US"/>
        </w:rPr>
      </w:pPr>
    </w:p>
    <w:p w14:paraId="0DE3128F" w14:textId="77777777" w:rsidR="006A34F8" w:rsidRDefault="006A34F8" w:rsidP="006A34F8">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Parandalimi i pastrimit të parave dhe i financimit të terrorizmit.</w:t>
      </w:r>
      <w:r w:rsidRPr="006A34F8">
        <w:rPr>
          <w:rFonts w:ascii="Times New Roman" w:hAnsi="Times New Roman" w:cs="Times New Roman"/>
          <w:noProof/>
          <w:lang w:val="en-US"/>
        </w:rPr>
        <w:t xml:space="preserve"> </w:t>
      </w:r>
    </w:p>
    <w:p w14:paraId="7F4A39CB" w14:textId="77777777" w:rsidR="006A34F8" w:rsidRDefault="006A34F8" w:rsidP="006A34F8">
      <w:pPr>
        <w:pStyle w:val="ListParagraph"/>
        <w:spacing w:after="0" w:line="276" w:lineRule="auto"/>
        <w:ind w:left="0"/>
        <w:jc w:val="both"/>
        <w:rPr>
          <w:rFonts w:ascii="Times New Roman" w:hAnsi="Times New Roman" w:cs="Times New Roman"/>
          <w:noProof/>
          <w:lang w:val="en-US"/>
        </w:rPr>
      </w:pPr>
    </w:p>
    <w:p w14:paraId="44AFA361" w14:textId="7C6C97AE" w:rsidR="00297089" w:rsidRP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 xml:space="preserve">Projektligji e lidh drejtpërdrejt autorizimin, funksionimin dhe mbikëqyrjen e ofruesve të shërbimeve të kripto-aseteve me kërkesat e Ligjit nr. 9917 “Për parandalimin e pastrimit të parave dhe financimit të terrorizmit”. Kjo ndërlidhje arrihet në dy nivele: (i) në hyrje në treg (autorizim dhe dokumentacion), ku </w:t>
      </w:r>
      <w:r>
        <w:rPr>
          <w:rFonts w:ascii="Times New Roman" w:hAnsi="Times New Roman" w:cs="Times New Roman"/>
          <w:noProof/>
          <w:lang w:val="en-US"/>
        </w:rPr>
        <w:t>ofruesit e sh</w:t>
      </w:r>
      <w:r w:rsidR="00F605B9">
        <w:rPr>
          <w:rFonts w:ascii="Times New Roman" w:hAnsi="Times New Roman" w:cs="Times New Roman"/>
          <w:noProof/>
          <w:lang w:val="en-US"/>
        </w:rPr>
        <w:t>ë</w:t>
      </w:r>
      <w:r>
        <w:rPr>
          <w:rFonts w:ascii="Times New Roman" w:hAnsi="Times New Roman" w:cs="Times New Roman"/>
          <w:noProof/>
          <w:lang w:val="en-US"/>
        </w:rPr>
        <w:t>rbimeve t</w:t>
      </w:r>
      <w:r w:rsidR="00F605B9">
        <w:rPr>
          <w:rFonts w:ascii="Times New Roman" w:hAnsi="Times New Roman" w:cs="Times New Roman"/>
          <w:noProof/>
          <w:lang w:val="en-US"/>
        </w:rPr>
        <w:t>ë</w:t>
      </w:r>
      <w:r>
        <w:rPr>
          <w:rFonts w:ascii="Times New Roman" w:hAnsi="Times New Roman" w:cs="Times New Roman"/>
          <w:noProof/>
          <w:lang w:val="en-US"/>
        </w:rPr>
        <w:t xml:space="preserve"> kripto-aseteve</w:t>
      </w:r>
      <w:r w:rsidRPr="00297089">
        <w:rPr>
          <w:rFonts w:ascii="Times New Roman" w:hAnsi="Times New Roman" w:cs="Times New Roman"/>
          <w:noProof/>
          <w:lang w:val="en-US"/>
        </w:rPr>
        <w:t xml:space="preserve"> duhet të paraqesin politika, procedura dhe sisteme të brendshme të përputhshme me Ligjin nr. 9917; dhe (ii) në operim</w:t>
      </w:r>
      <w:r>
        <w:rPr>
          <w:rFonts w:ascii="Times New Roman" w:hAnsi="Times New Roman" w:cs="Times New Roman"/>
          <w:noProof/>
          <w:lang w:val="en-US"/>
        </w:rPr>
        <w:t>in e tyre në vijimësi</w:t>
      </w:r>
      <w:r w:rsidRPr="00297089">
        <w:rPr>
          <w:rFonts w:ascii="Times New Roman" w:hAnsi="Times New Roman" w:cs="Times New Roman"/>
          <w:noProof/>
          <w:lang w:val="en-US"/>
        </w:rPr>
        <w:t xml:space="preserve">, ku platformat dhe shërbimet </w:t>
      </w:r>
      <w:r>
        <w:rPr>
          <w:rFonts w:ascii="Times New Roman" w:hAnsi="Times New Roman" w:cs="Times New Roman"/>
          <w:noProof/>
          <w:lang w:val="en-US"/>
        </w:rPr>
        <w:t xml:space="preserve">e kripto-aseteve </w:t>
      </w:r>
      <w:r w:rsidRPr="00297089">
        <w:rPr>
          <w:rFonts w:ascii="Times New Roman" w:hAnsi="Times New Roman" w:cs="Times New Roman"/>
          <w:noProof/>
          <w:lang w:val="en-US"/>
        </w:rPr>
        <w:t>kushtëzohen nga rregulla të qarta pranimi/monitorimi që kërkojnë nj</w:t>
      </w:r>
      <w:r>
        <w:rPr>
          <w:rFonts w:ascii="Times New Roman" w:hAnsi="Times New Roman" w:cs="Times New Roman"/>
          <w:noProof/>
          <w:lang w:val="en-US"/>
        </w:rPr>
        <w:t xml:space="preserve">ohjen e </w:t>
      </w:r>
      <w:r w:rsidRPr="00297089">
        <w:rPr>
          <w:rFonts w:ascii="Times New Roman" w:hAnsi="Times New Roman" w:cs="Times New Roman"/>
          <w:noProof/>
          <w:lang w:val="en-US"/>
        </w:rPr>
        <w:t xml:space="preserve">klientin dhe vigjilencë të duhur/zgjeruar sipas profilit të rrezikut, njësoj si subjektet e tjera të </w:t>
      </w:r>
      <w:r>
        <w:rPr>
          <w:rFonts w:ascii="Times New Roman" w:hAnsi="Times New Roman" w:cs="Times New Roman"/>
          <w:noProof/>
          <w:lang w:val="en-US"/>
        </w:rPr>
        <w:t>ligjit 9917.</w:t>
      </w:r>
      <w:r w:rsidRPr="00297089">
        <w:rPr>
          <w:rFonts w:ascii="Times New Roman" w:hAnsi="Times New Roman" w:cs="Times New Roman"/>
          <w:noProof/>
          <w:lang w:val="en-US"/>
        </w:rPr>
        <w:t>. Kjo e bën kornizën e kripto-shërbimeve të krahasueshme, në aspektin e pajtueshmërisë, me sektorët financiarë ekzistues.</w:t>
      </w:r>
    </w:p>
    <w:p w14:paraId="116CC687" w14:textId="77777777" w:rsidR="00297089" w:rsidRDefault="00297089" w:rsidP="00297089">
      <w:pPr>
        <w:pStyle w:val="ListParagraph"/>
        <w:spacing w:after="0" w:line="276" w:lineRule="auto"/>
        <w:ind w:left="0"/>
        <w:jc w:val="both"/>
        <w:rPr>
          <w:rFonts w:ascii="Times New Roman" w:hAnsi="Times New Roman" w:cs="Times New Roman"/>
          <w:noProof/>
          <w:lang w:val="en-US"/>
        </w:rPr>
      </w:pPr>
    </w:p>
    <w:p w14:paraId="211B8733" w14:textId="4EEF6B96" w:rsidR="00297089" w:rsidRP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Në fazën e autorizimit, paketa</w:t>
      </w:r>
      <w:r>
        <w:rPr>
          <w:rFonts w:ascii="Times New Roman" w:hAnsi="Times New Roman" w:cs="Times New Roman"/>
          <w:noProof/>
          <w:lang w:val="en-US"/>
        </w:rPr>
        <w:t xml:space="preserve"> e dokumenteve</w:t>
      </w:r>
      <w:r w:rsidRPr="00297089">
        <w:rPr>
          <w:rFonts w:ascii="Times New Roman" w:hAnsi="Times New Roman" w:cs="Times New Roman"/>
          <w:noProof/>
          <w:lang w:val="en-US"/>
        </w:rPr>
        <w:t xml:space="preserve"> që paraqesin </w:t>
      </w:r>
      <w:r>
        <w:rPr>
          <w:rFonts w:ascii="Times New Roman" w:hAnsi="Times New Roman" w:cs="Times New Roman"/>
          <w:noProof/>
          <w:lang w:val="en-US"/>
        </w:rPr>
        <w:t>ofruesit e sh</w:t>
      </w:r>
      <w:r w:rsidR="00F605B9">
        <w:rPr>
          <w:rFonts w:ascii="Times New Roman" w:hAnsi="Times New Roman" w:cs="Times New Roman"/>
          <w:noProof/>
          <w:lang w:val="en-US"/>
        </w:rPr>
        <w:t>ë</w:t>
      </w:r>
      <w:r>
        <w:rPr>
          <w:rFonts w:ascii="Times New Roman" w:hAnsi="Times New Roman" w:cs="Times New Roman"/>
          <w:noProof/>
          <w:lang w:val="en-US"/>
        </w:rPr>
        <w:t>rbimeve t</w:t>
      </w:r>
      <w:r w:rsidR="00F605B9">
        <w:rPr>
          <w:rFonts w:ascii="Times New Roman" w:hAnsi="Times New Roman" w:cs="Times New Roman"/>
          <w:noProof/>
          <w:lang w:val="en-US"/>
        </w:rPr>
        <w:t>ë</w:t>
      </w:r>
      <w:r>
        <w:rPr>
          <w:rFonts w:ascii="Times New Roman" w:hAnsi="Times New Roman" w:cs="Times New Roman"/>
          <w:noProof/>
          <w:lang w:val="en-US"/>
        </w:rPr>
        <w:t xml:space="preserve"> kripto-aseteve </w:t>
      </w:r>
      <w:r w:rsidRPr="00297089">
        <w:rPr>
          <w:rFonts w:ascii="Times New Roman" w:hAnsi="Times New Roman" w:cs="Times New Roman"/>
          <w:noProof/>
          <w:lang w:val="en-US"/>
        </w:rPr>
        <w:t xml:space="preserve">duhet të përfshijnë, ndër të tjera, një përshkrim të mekanizmave të kontrollit të brendshëm, politikave dhe procedurave për të siguruar pajtueshmërinë me Ligjin nr. 9917, si dhe kuadrin e vlerësimit të rrezikut për menaxhimin e rreziqeve të pastrimit të parave dhe financimit të terrorizmit. </w:t>
      </w:r>
    </w:p>
    <w:p w14:paraId="7F2087FC" w14:textId="77777777" w:rsidR="00297089" w:rsidRDefault="00297089" w:rsidP="00297089">
      <w:pPr>
        <w:pStyle w:val="ListParagraph"/>
        <w:spacing w:after="0" w:line="276" w:lineRule="auto"/>
        <w:ind w:left="0"/>
        <w:jc w:val="both"/>
        <w:rPr>
          <w:rFonts w:ascii="Times New Roman" w:hAnsi="Times New Roman" w:cs="Times New Roman"/>
          <w:noProof/>
          <w:lang w:val="en-US"/>
        </w:rPr>
      </w:pPr>
    </w:p>
    <w:p w14:paraId="381E6387" w14:textId="26ED03EE" w:rsidR="00297089" w:rsidRP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 xml:space="preserve">Në operimin e platformave të tregtimit, projektligji kërkon rregulla të qarta që përfshijnë shprehimisht njohjen e klientit dhe masat e përputhura me rrezikun </w:t>
      </w:r>
      <w:r>
        <w:rPr>
          <w:rFonts w:ascii="Times New Roman" w:hAnsi="Times New Roman" w:cs="Times New Roman"/>
          <w:noProof/>
          <w:lang w:val="en-US"/>
        </w:rPr>
        <w:t xml:space="preserve"> e pastrimit t</w:t>
      </w:r>
      <w:r w:rsidR="00F605B9">
        <w:rPr>
          <w:rFonts w:ascii="Times New Roman" w:hAnsi="Times New Roman" w:cs="Times New Roman"/>
          <w:noProof/>
          <w:lang w:val="en-US"/>
        </w:rPr>
        <w:t>ë</w:t>
      </w:r>
      <w:r>
        <w:rPr>
          <w:rFonts w:ascii="Times New Roman" w:hAnsi="Times New Roman" w:cs="Times New Roman"/>
          <w:noProof/>
          <w:lang w:val="en-US"/>
        </w:rPr>
        <w:t xml:space="preserve"> parave dhe financimit t</w:t>
      </w:r>
      <w:r w:rsidR="00F605B9">
        <w:rPr>
          <w:rFonts w:ascii="Times New Roman" w:hAnsi="Times New Roman" w:cs="Times New Roman"/>
          <w:noProof/>
          <w:lang w:val="en-US"/>
        </w:rPr>
        <w:t>ë</w:t>
      </w:r>
      <w:r>
        <w:rPr>
          <w:rFonts w:ascii="Times New Roman" w:hAnsi="Times New Roman" w:cs="Times New Roman"/>
          <w:noProof/>
          <w:lang w:val="en-US"/>
        </w:rPr>
        <w:t xml:space="preserve"> terrozimit </w:t>
      </w:r>
      <w:r w:rsidRPr="00297089">
        <w:rPr>
          <w:rFonts w:ascii="Times New Roman" w:hAnsi="Times New Roman" w:cs="Times New Roman"/>
          <w:noProof/>
          <w:lang w:val="en-US"/>
        </w:rPr>
        <w:t xml:space="preserve">të subjektit kërkues, duke iu referuar drejtpërdrejt Ligjit nr. 9917. </w:t>
      </w:r>
    </w:p>
    <w:p w14:paraId="6FB34933" w14:textId="497B1459" w:rsid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Ky harmonizim mbështetet nga blloqet kryesore të Ligjit nr. 9917 që</w:t>
      </w:r>
      <w:r>
        <w:rPr>
          <w:rFonts w:ascii="Times New Roman" w:hAnsi="Times New Roman" w:cs="Times New Roman"/>
          <w:noProof/>
          <w:lang w:val="en-US"/>
        </w:rPr>
        <w:t xml:space="preserve"> ofruesit e sh</w:t>
      </w:r>
      <w:r w:rsidR="00F605B9">
        <w:rPr>
          <w:rFonts w:ascii="Times New Roman" w:hAnsi="Times New Roman" w:cs="Times New Roman"/>
          <w:noProof/>
          <w:lang w:val="en-US"/>
        </w:rPr>
        <w:t>ë</w:t>
      </w:r>
      <w:r>
        <w:rPr>
          <w:rFonts w:ascii="Times New Roman" w:hAnsi="Times New Roman" w:cs="Times New Roman"/>
          <w:noProof/>
          <w:lang w:val="en-US"/>
        </w:rPr>
        <w:t>rbimeve t</w:t>
      </w:r>
      <w:r w:rsidR="00F605B9">
        <w:rPr>
          <w:rFonts w:ascii="Times New Roman" w:hAnsi="Times New Roman" w:cs="Times New Roman"/>
          <w:noProof/>
          <w:lang w:val="en-US"/>
        </w:rPr>
        <w:t>ë</w:t>
      </w:r>
      <w:r>
        <w:rPr>
          <w:rFonts w:ascii="Times New Roman" w:hAnsi="Times New Roman" w:cs="Times New Roman"/>
          <w:noProof/>
          <w:lang w:val="en-US"/>
        </w:rPr>
        <w:t xml:space="preserve"> kripto-aseteve</w:t>
      </w:r>
      <w:r w:rsidRPr="00297089">
        <w:rPr>
          <w:rFonts w:ascii="Times New Roman" w:hAnsi="Times New Roman" w:cs="Times New Roman"/>
          <w:noProof/>
          <w:lang w:val="en-US"/>
        </w:rPr>
        <w:t xml:space="preserve"> duhet t’i zbatojnë si “subjekte</w:t>
      </w:r>
      <w:r>
        <w:rPr>
          <w:rFonts w:ascii="Times New Roman" w:hAnsi="Times New Roman" w:cs="Times New Roman"/>
          <w:noProof/>
          <w:lang w:val="en-US"/>
        </w:rPr>
        <w:t xml:space="preserve"> t</w:t>
      </w:r>
      <w:r w:rsidR="00F605B9">
        <w:rPr>
          <w:rFonts w:ascii="Times New Roman" w:hAnsi="Times New Roman" w:cs="Times New Roman"/>
          <w:noProof/>
          <w:lang w:val="en-US"/>
        </w:rPr>
        <w:t>ë</w:t>
      </w:r>
      <w:r>
        <w:rPr>
          <w:rFonts w:ascii="Times New Roman" w:hAnsi="Times New Roman" w:cs="Times New Roman"/>
          <w:noProof/>
          <w:lang w:val="en-US"/>
        </w:rPr>
        <w:t xml:space="preserve"> detyruara</w:t>
      </w:r>
      <w:r w:rsidRPr="00297089">
        <w:rPr>
          <w:rFonts w:ascii="Times New Roman" w:hAnsi="Times New Roman" w:cs="Times New Roman"/>
          <w:noProof/>
          <w:lang w:val="en-US"/>
        </w:rPr>
        <w:t>” të ligji</w:t>
      </w:r>
      <w:r>
        <w:rPr>
          <w:rFonts w:ascii="Times New Roman" w:hAnsi="Times New Roman" w:cs="Times New Roman"/>
          <w:noProof/>
          <w:lang w:val="en-US"/>
        </w:rPr>
        <w:t xml:space="preserve">t 991: </w:t>
      </w:r>
    </w:p>
    <w:p w14:paraId="1D2331FB" w14:textId="6A4134BC" w:rsidR="00297089" w:rsidRDefault="00297089" w:rsidP="00297089">
      <w:pPr>
        <w:pStyle w:val="ListParagraph"/>
        <w:numPr>
          <w:ilvl w:val="0"/>
          <w:numId w:val="12"/>
        </w:numPr>
        <w:spacing w:after="0" w:line="276" w:lineRule="auto"/>
        <w:jc w:val="both"/>
        <w:rPr>
          <w:rFonts w:ascii="Times New Roman" w:hAnsi="Times New Roman" w:cs="Times New Roman"/>
          <w:noProof/>
          <w:lang w:val="en-US"/>
        </w:rPr>
      </w:pPr>
      <w:r w:rsidRPr="00297089">
        <w:rPr>
          <w:rFonts w:ascii="Times New Roman" w:hAnsi="Times New Roman" w:cs="Times New Roman"/>
          <w:noProof/>
          <w:lang w:val="en-US"/>
        </w:rPr>
        <w:t xml:space="preserve">Identifikimi dhe verifikimi i klientëve: para vendosjes së marrëdhënies së biznesit, në transferta ose kur lind dyshim; detyrim për të identifikuar edhe pronarin përfitues; rifreskim i të dhënave dhe monitorim i vazhdueshëm i marrëdhënies sipas rrezikut. </w:t>
      </w:r>
    </w:p>
    <w:p w14:paraId="3116F974" w14:textId="4B6B5AD6" w:rsidR="00297089" w:rsidRDefault="00297089" w:rsidP="00297089">
      <w:pPr>
        <w:pStyle w:val="ListParagraph"/>
        <w:numPr>
          <w:ilvl w:val="0"/>
          <w:numId w:val="12"/>
        </w:numPr>
        <w:spacing w:after="0" w:line="276" w:lineRule="auto"/>
        <w:jc w:val="both"/>
        <w:rPr>
          <w:rFonts w:ascii="Times New Roman" w:hAnsi="Times New Roman" w:cs="Times New Roman"/>
          <w:noProof/>
          <w:lang w:val="en-US"/>
        </w:rPr>
      </w:pPr>
      <w:r w:rsidRPr="00297089">
        <w:rPr>
          <w:rFonts w:ascii="Times New Roman" w:hAnsi="Times New Roman" w:cs="Times New Roman"/>
          <w:noProof/>
          <w:lang w:val="en-US"/>
        </w:rPr>
        <w:t xml:space="preserve">Vigjilencë e zgjeruar: për </w:t>
      </w:r>
      <w:r>
        <w:rPr>
          <w:rFonts w:ascii="Times New Roman" w:hAnsi="Times New Roman" w:cs="Times New Roman"/>
          <w:noProof/>
          <w:lang w:val="en-US"/>
        </w:rPr>
        <w:t>persona politikisht të ekspozuar</w:t>
      </w:r>
      <w:r w:rsidRPr="00297089">
        <w:rPr>
          <w:rFonts w:ascii="Times New Roman" w:hAnsi="Times New Roman" w:cs="Times New Roman"/>
          <w:noProof/>
          <w:lang w:val="en-US"/>
        </w:rPr>
        <w:t xml:space="preserve">, marrëdhënie/transaksione komplekse, jorezidentë, juridiksione me rrezik të lartë, produkte/teknologji të reja; në mungesë të plotësimit të </w:t>
      </w:r>
      <w:r>
        <w:rPr>
          <w:rFonts w:ascii="Times New Roman" w:hAnsi="Times New Roman" w:cs="Times New Roman"/>
          <w:noProof/>
          <w:lang w:val="en-US"/>
        </w:rPr>
        <w:t>vigjilenc</w:t>
      </w:r>
      <w:r w:rsidR="00F605B9">
        <w:rPr>
          <w:rFonts w:ascii="Times New Roman" w:hAnsi="Times New Roman" w:cs="Times New Roman"/>
          <w:noProof/>
          <w:lang w:val="en-US"/>
        </w:rPr>
        <w:t>ë</w:t>
      </w:r>
      <w:r>
        <w:rPr>
          <w:rFonts w:ascii="Times New Roman" w:hAnsi="Times New Roman" w:cs="Times New Roman"/>
          <w:noProof/>
          <w:lang w:val="en-US"/>
        </w:rPr>
        <w:t>s s</w:t>
      </w:r>
      <w:r w:rsidR="00F605B9">
        <w:rPr>
          <w:rFonts w:ascii="Times New Roman" w:hAnsi="Times New Roman" w:cs="Times New Roman"/>
          <w:noProof/>
          <w:lang w:val="en-US"/>
        </w:rPr>
        <w:t>ë</w:t>
      </w:r>
      <w:r>
        <w:rPr>
          <w:rFonts w:ascii="Times New Roman" w:hAnsi="Times New Roman" w:cs="Times New Roman"/>
          <w:noProof/>
          <w:lang w:val="en-US"/>
        </w:rPr>
        <w:t xml:space="preserve"> zgjeruar</w:t>
      </w:r>
      <w:r w:rsidRPr="00297089">
        <w:rPr>
          <w:rFonts w:ascii="Times New Roman" w:hAnsi="Times New Roman" w:cs="Times New Roman"/>
          <w:noProof/>
          <w:lang w:val="en-US"/>
        </w:rPr>
        <w:t xml:space="preserve">, ndalohet vendosja apo mbajtja e marrëdhënies. </w:t>
      </w:r>
    </w:p>
    <w:p w14:paraId="38CBBC28" w14:textId="384D9AC2" w:rsidR="00297089" w:rsidRDefault="00297089" w:rsidP="00297089">
      <w:pPr>
        <w:pStyle w:val="ListParagraph"/>
        <w:numPr>
          <w:ilvl w:val="0"/>
          <w:numId w:val="12"/>
        </w:numPr>
        <w:spacing w:after="0" w:line="276" w:lineRule="auto"/>
        <w:jc w:val="both"/>
        <w:rPr>
          <w:rFonts w:ascii="Times New Roman" w:hAnsi="Times New Roman" w:cs="Times New Roman"/>
          <w:noProof/>
          <w:lang w:val="en-US"/>
        </w:rPr>
      </w:pPr>
      <w:r w:rsidRPr="00297089">
        <w:rPr>
          <w:rFonts w:ascii="Times New Roman" w:hAnsi="Times New Roman" w:cs="Times New Roman"/>
          <w:noProof/>
          <w:lang w:val="en-US"/>
        </w:rPr>
        <w:t xml:space="preserve">Transfertat: mbajtje dhe përcjellje e të dhënave të urdhëruesit ose refuzim kur mungon informacioni i plotë </w:t>
      </w:r>
    </w:p>
    <w:p w14:paraId="7110B5EE" w14:textId="7B36E1CB" w:rsidR="00297089" w:rsidRDefault="00297089" w:rsidP="00297089">
      <w:pPr>
        <w:pStyle w:val="ListParagraph"/>
        <w:numPr>
          <w:ilvl w:val="0"/>
          <w:numId w:val="12"/>
        </w:numPr>
        <w:spacing w:after="0" w:line="276" w:lineRule="auto"/>
        <w:jc w:val="both"/>
        <w:rPr>
          <w:rFonts w:ascii="Times New Roman" w:hAnsi="Times New Roman" w:cs="Times New Roman"/>
          <w:noProof/>
          <w:lang w:val="en-US"/>
        </w:rPr>
      </w:pPr>
      <w:r w:rsidRPr="00297089">
        <w:rPr>
          <w:rFonts w:ascii="Times New Roman" w:hAnsi="Times New Roman" w:cs="Times New Roman"/>
          <w:noProof/>
          <w:lang w:val="en-US"/>
        </w:rPr>
        <w:lastRenderedPageBreak/>
        <w:t>Kontrollet e brendshme, personi përgjeg</w:t>
      </w:r>
      <w:r w:rsidR="00F605B9">
        <w:rPr>
          <w:rFonts w:ascii="Times New Roman" w:hAnsi="Times New Roman" w:cs="Times New Roman"/>
          <w:noProof/>
          <w:lang w:val="en-US"/>
        </w:rPr>
        <w:t>ë</w:t>
      </w:r>
      <w:r>
        <w:rPr>
          <w:rFonts w:ascii="Times New Roman" w:hAnsi="Times New Roman" w:cs="Times New Roman"/>
          <w:noProof/>
          <w:lang w:val="en-US"/>
        </w:rPr>
        <w:t>s p</w:t>
      </w:r>
      <w:r w:rsidR="00F605B9">
        <w:rPr>
          <w:rFonts w:ascii="Times New Roman" w:hAnsi="Times New Roman" w:cs="Times New Roman"/>
          <w:noProof/>
          <w:lang w:val="en-US"/>
        </w:rPr>
        <w:t>ë</w:t>
      </w:r>
      <w:r>
        <w:rPr>
          <w:rFonts w:ascii="Times New Roman" w:hAnsi="Times New Roman" w:cs="Times New Roman"/>
          <w:noProof/>
          <w:lang w:val="en-US"/>
        </w:rPr>
        <w:t>r parandalimin e pastrimit t</w:t>
      </w:r>
      <w:r w:rsidR="00F605B9">
        <w:rPr>
          <w:rFonts w:ascii="Times New Roman" w:hAnsi="Times New Roman" w:cs="Times New Roman"/>
          <w:noProof/>
          <w:lang w:val="en-US"/>
        </w:rPr>
        <w:t>ë</w:t>
      </w:r>
      <w:r>
        <w:rPr>
          <w:rFonts w:ascii="Times New Roman" w:hAnsi="Times New Roman" w:cs="Times New Roman"/>
          <w:noProof/>
          <w:lang w:val="en-US"/>
        </w:rPr>
        <w:t xml:space="preserve"> parave dhe financimit t</w:t>
      </w:r>
      <w:r w:rsidR="00F605B9">
        <w:rPr>
          <w:rFonts w:ascii="Times New Roman" w:hAnsi="Times New Roman" w:cs="Times New Roman"/>
          <w:noProof/>
          <w:lang w:val="en-US"/>
        </w:rPr>
        <w:t>ë</w:t>
      </w:r>
      <w:r>
        <w:rPr>
          <w:rFonts w:ascii="Times New Roman" w:hAnsi="Times New Roman" w:cs="Times New Roman"/>
          <w:noProof/>
          <w:lang w:val="en-US"/>
        </w:rPr>
        <w:t xml:space="preserve"> terrorizmit</w:t>
      </w:r>
      <w:r w:rsidRPr="00297089">
        <w:rPr>
          <w:rFonts w:ascii="Times New Roman" w:hAnsi="Times New Roman" w:cs="Times New Roman"/>
          <w:noProof/>
          <w:lang w:val="en-US"/>
        </w:rPr>
        <w:t>, trajnimi dhe filtrat e punësimit</w:t>
      </w:r>
      <w:r>
        <w:rPr>
          <w:rFonts w:ascii="Times New Roman" w:hAnsi="Times New Roman" w:cs="Times New Roman"/>
          <w:noProof/>
          <w:lang w:val="en-US"/>
        </w:rPr>
        <w:t xml:space="preserve"> duke p</w:t>
      </w:r>
      <w:r w:rsidR="00F605B9">
        <w:rPr>
          <w:rFonts w:ascii="Times New Roman" w:hAnsi="Times New Roman" w:cs="Times New Roman"/>
          <w:noProof/>
          <w:lang w:val="en-US"/>
        </w:rPr>
        <w:t>ë</w:t>
      </w:r>
      <w:r>
        <w:rPr>
          <w:rFonts w:ascii="Times New Roman" w:hAnsi="Times New Roman" w:cs="Times New Roman"/>
          <w:noProof/>
          <w:lang w:val="en-US"/>
        </w:rPr>
        <w:t>rfshir</w:t>
      </w:r>
      <w:r w:rsidR="00F605B9">
        <w:rPr>
          <w:rFonts w:ascii="Times New Roman" w:hAnsi="Times New Roman" w:cs="Times New Roman"/>
          <w:noProof/>
          <w:lang w:val="en-US"/>
        </w:rPr>
        <w:t>ë</w:t>
      </w:r>
      <w:r w:rsidRPr="00297089">
        <w:rPr>
          <w:rFonts w:ascii="Times New Roman" w:hAnsi="Times New Roman" w:cs="Times New Roman"/>
          <w:noProof/>
          <w:lang w:val="en-US"/>
        </w:rPr>
        <w:t xml:space="preserve"> detyrime organizative që projektligji i kërkon si pjesë e autorizimit dhe që</w:t>
      </w:r>
      <w:r>
        <w:rPr>
          <w:rFonts w:ascii="Times New Roman" w:hAnsi="Times New Roman" w:cs="Times New Roman"/>
          <w:noProof/>
          <w:lang w:val="en-US"/>
        </w:rPr>
        <w:t xml:space="preserve"> ofruesit e sh</w:t>
      </w:r>
      <w:r w:rsidR="00F605B9">
        <w:rPr>
          <w:rFonts w:ascii="Times New Roman" w:hAnsi="Times New Roman" w:cs="Times New Roman"/>
          <w:noProof/>
          <w:lang w:val="en-US"/>
        </w:rPr>
        <w:t>ë</w:t>
      </w:r>
      <w:r>
        <w:rPr>
          <w:rFonts w:ascii="Times New Roman" w:hAnsi="Times New Roman" w:cs="Times New Roman"/>
          <w:noProof/>
          <w:lang w:val="en-US"/>
        </w:rPr>
        <w:t>rbimeve t</w:t>
      </w:r>
      <w:r w:rsidR="00F605B9">
        <w:rPr>
          <w:rFonts w:ascii="Times New Roman" w:hAnsi="Times New Roman" w:cs="Times New Roman"/>
          <w:noProof/>
          <w:lang w:val="en-US"/>
        </w:rPr>
        <w:t>ë</w:t>
      </w:r>
      <w:r>
        <w:rPr>
          <w:rFonts w:ascii="Times New Roman" w:hAnsi="Times New Roman" w:cs="Times New Roman"/>
          <w:noProof/>
          <w:lang w:val="en-US"/>
        </w:rPr>
        <w:t xml:space="preserve"> kripto-aseteve</w:t>
      </w:r>
      <w:r w:rsidRPr="00297089">
        <w:rPr>
          <w:rFonts w:ascii="Times New Roman" w:hAnsi="Times New Roman" w:cs="Times New Roman"/>
          <w:noProof/>
          <w:lang w:val="en-US"/>
        </w:rPr>
        <w:t xml:space="preserve">. </w:t>
      </w:r>
    </w:p>
    <w:p w14:paraId="7A8C07AB" w14:textId="6DF35C2A" w:rsidR="00297089" w:rsidRDefault="00297089" w:rsidP="00297089">
      <w:pPr>
        <w:pStyle w:val="ListParagraph"/>
        <w:numPr>
          <w:ilvl w:val="0"/>
          <w:numId w:val="12"/>
        </w:numPr>
        <w:spacing w:after="0" w:line="276" w:lineRule="auto"/>
        <w:jc w:val="both"/>
        <w:rPr>
          <w:rFonts w:ascii="Times New Roman" w:hAnsi="Times New Roman" w:cs="Times New Roman"/>
          <w:noProof/>
          <w:lang w:val="en-US"/>
        </w:rPr>
      </w:pPr>
      <w:r w:rsidRPr="00297089">
        <w:rPr>
          <w:rFonts w:ascii="Times New Roman" w:hAnsi="Times New Roman" w:cs="Times New Roman"/>
          <w:noProof/>
          <w:lang w:val="en-US"/>
        </w:rPr>
        <w:t xml:space="preserve">Raportimi i veprimtarive të dyshimta (STR) dhe i transaksioneve </w:t>
      </w:r>
    </w:p>
    <w:p w14:paraId="571152B4" w14:textId="6BFC10A3" w:rsidR="00297089" w:rsidRDefault="00297089" w:rsidP="00297089">
      <w:pPr>
        <w:pStyle w:val="ListParagraph"/>
        <w:numPr>
          <w:ilvl w:val="0"/>
          <w:numId w:val="12"/>
        </w:numPr>
        <w:spacing w:after="0" w:line="276" w:lineRule="auto"/>
        <w:jc w:val="both"/>
        <w:rPr>
          <w:rFonts w:ascii="Times New Roman" w:hAnsi="Times New Roman" w:cs="Times New Roman"/>
          <w:noProof/>
          <w:lang w:val="en-US"/>
        </w:rPr>
      </w:pPr>
      <w:r w:rsidRPr="00297089">
        <w:rPr>
          <w:rFonts w:ascii="Times New Roman" w:hAnsi="Times New Roman" w:cs="Times New Roman"/>
          <w:noProof/>
          <w:lang w:val="en-US"/>
        </w:rPr>
        <w:t xml:space="preserve">Ruajtja e të dhënave: të dhënat e klientit/transaksioneve ruhen të paktën 5 vjet dhe vihen në dispozicion me kërkesë të </w:t>
      </w:r>
      <w:r>
        <w:rPr>
          <w:rFonts w:ascii="Times New Roman" w:hAnsi="Times New Roman" w:cs="Times New Roman"/>
          <w:noProof/>
          <w:lang w:val="en-US"/>
        </w:rPr>
        <w:t>AIF</w:t>
      </w:r>
      <w:r w:rsidRPr="00297089">
        <w:rPr>
          <w:rFonts w:ascii="Times New Roman" w:hAnsi="Times New Roman" w:cs="Times New Roman"/>
          <w:noProof/>
          <w:lang w:val="en-US"/>
        </w:rPr>
        <w:t xml:space="preserve"> </w:t>
      </w:r>
    </w:p>
    <w:p w14:paraId="00DD0E22" w14:textId="40173207" w:rsidR="00297089" w:rsidRPr="00297089" w:rsidRDefault="00297089" w:rsidP="00297089">
      <w:pPr>
        <w:spacing w:after="0" w:line="276" w:lineRule="auto"/>
        <w:ind w:left="360"/>
        <w:jc w:val="both"/>
        <w:rPr>
          <w:rFonts w:ascii="Times New Roman" w:hAnsi="Times New Roman" w:cs="Times New Roman"/>
          <w:noProof/>
          <w:lang w:val="en-US"/>
        </w:rPr>
      </w:pPr>
    </w:p>
    <w:p w14:paraId="3B73EAE5" w14:textId="5D42F5B1" w:rsidR="00297089" w:rsidRP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Në praktikë,</w:t>
      </w:r>
      <w:r w:rsidR="00F04C22">
        <w:rPr>
          <w:rFonts w:ascii="Times New Roman" w:hAnsi="Times New Roman" w:cs="Times New Roman"/>
          <w:noProof/>
          <w:lang w:val="en-US"/>
        </w:rPr>
        <w:t xml:space="preserve"> kjo ndërlidhje </w:t>
      </w:r>
      <w:r w:rsidRPr="00297089">
        <w:rPr>
          <w:rFonts w:ascii="Times New Roman" w:hAnsi="Times New Roman" w:cs="Times New Roman"/>
          <w:noProof/>
          <w:lang w:val="en-US"/>
        </w:rPr>
        <w:t xml:space="preserve"> prodhon tre efekte konkrete për</w:t>
      </w:r>
      <w:r w:rsidR="00F04C22">
        <w:rPr>
          <w:rFonts w:ascii="Times New Roman" w:hAnsi="Times New Roman" w:cs="Times New Roman"/>
          <w:noProof/>
          <w:lang w:val="en-US"/>
        </w:rPr>
        <w:t xml:space="preserve"> ofruesit e sh</w:t>
      </w:r>
      <w:r w:rsidR="00F605B9">
        <w:rPr>
          <w:rFonts w:ascii="Times New Roman" w:hAnsi="Times New Roman" w:cs="Times New Roman"/>
          <w:noProof/>
          <w:lang w:val="en-US"/>
        </w:rPr>
        <w:t>ë</w:t>
      </w:r>
      <w:r w:rsidR="00F04C22">
        <w:rPr>
          <w:rFonts w:ascii="Times New Roman" w:hAnsi="Times New Roman" w:cs="Times New Roman"/>
          <w:noProof/>
          <w:lang w:val="en-US"/>
        </w:rPr>
        <w:t>rbimeve t</w:t>
      </w:r>
      <w:r w:rsidR="00F605B9">
        <w:rPr>
          <w:rFonts w:ascii="Times New Roman" w:hAnsi="Times New Roman" w:cs="Times New Roman"/>
          <w:noProof/>
          <w:lang w:val="en-US"/>
        </w:rPr>
        <w:t>ë</w:t>
      </w:r>
      <w:r w:rsidR="00F04C22">
        <w:rPr>
          <w:rFonts w:ascii="Times New Roman" w:hAnsi="Times New Roman" w:cs="Times New Roman"/>
          <w:noProof/>
          <w:lang w:val="en-US"/>
        </w:rPr>
        <w:t xml:space="preserve"> kripto-aseteve</w:t>
      </w:r>
      <w:r w:rsidRPr="00297089">
        <w:rPr>
          <w:rFonts w:ascii="Times New Roman" w:hAnsi="Times New Roman" w:cs="Times New Roman"/>
          <w:noProof/>
          <w:lang w:val="en-US"/>
        </w:rPr>
        <w:t>:</w:t>
      </w:r>
    </w:p>
    <w:p w14:paraId="6907240A" w14:textId="54308EBC" w:rsidR="00297089" w:rsidRP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(i) Pranim dhe</w:t>
      </w:r>
      <w:r w:rsidR="00F04C22">
        <w:rPr>
          <w:rFonts w:ascii="Times New Roman" w:hAnsi="Times New Roman" w:cs="Times New Roman"/>
          <w:noProof/>
          <w:lang w:val="en-US"/>
        </w:rPr>
        <w:t xml:space="preserve"> ç’listim</w:t>
      </w:r>
      <w:r w:rsidRPr="00297089">
        <w:rPr>
          <w:rFonts w:ascii="Times New Roman" w:hAnsi="Times New Roman" w:cs="Times New Roman"/>
          <w:noProof/>
          <w:lang w:val="en-US"/>
        </w:rPr>
        <w:t xml:space="preserve"> i </w:t>
      </w:r>
      <w:r w:rsidR="00F04C22">
        <w:rPr>
          <w:rFonts w:ascii="Times New Roman" w:hAnsi="Times New Roman" w:cs="Times New Roman"/>
          <w:noProof/>
          <w:lang w:val="en-US"/>
        </w:rPr>
        <w:t>kripto-</w:t>
      </w:r>
      <w:r w:rsidRPr="00297089">
        <w:rPr>
          <w:rFonts w:ascii="Times New Roman" w:hAnsi="Times New Roman" w:cs="Times New Roman"/>
          <w:noProof/>
          <w:lang w:val="en-US"/>
        </w:rPr>
        <w:t>aseteve i kushtëzuar nga</w:t>
      </w:r>
      <w:r w:rsidR="00F04C22">
        <w:rPr>
          <w:rFonts w:ascii="Times New Roman" w:hAnsi="Times New Roman" w:cs="Times New Roman"/>
          <w:noProof/>
          <w:lang w:val="en-US"/>
        </w:rPr>
        <w:t xml:space="preserve"> detyrimet p</w:t>
      </w:r>
      <w:r w:rsidR="00F605B9">
        <w:rPr>
          <w:rFonts w:ascii="Times New Roman" w:hAnsi="Times New Roman" w:cs="Times New Roman"/>
          <w:noProof/>
          <w:lang w:val="en-US"/>
        </w:rPr>
        <w:t>ë</w:t>
      </w:r>
      <w:r w:rsidR="00F04C22">
        <w:rPr>
          <w:rFonts w:ascii="Times New Roman" w:hAnsi="Times New Roman" w:cs="Times New Roman"/>
          <w:noProof/>
          <w:lang w:val="en-US"/>
        </w:rPr>
        <w:t>r parandalimin e pastrimit t</w:t>
      </w:r>
      <w:r w:rsidR="00F605B9">
        <w:rPr>
          <w:rFonts w:ascii="Times New Roman" w:hAnsi="Times New Roman" w:cs="Times New Roman"/>
          <w:noProof/>
          <w:lang w:val="en-US"/>
        </w:rPr>
        <w:t>ë</w:t>
      </w:r>
      <w:r w:rsidR="00F04C22">
        <w:rPr>
          <w:rFonts w:ascii="Times New Roman" w:hAnsi="Times New Roman" w:cs="Times New Roman"/>
          <w:noProof/>
          <w:lang w:val="en-US"/>
        </w:rPr>
        <w:t xml:space="preserve"> parave dhe financimit t</w:t>
      </w:r>
      <w:r w:rsidR="00F605B9">
        <w:rPr>
          <w:rFonts w:ascii="Times New Roman" w:hAnsi="Times New Roman" w:cs="Times New Roman"/>
          <w:noProof/>
          <w:lang w:val="en-US"/>
        </w:rPr>
        <w:t>ë</w:t>
      </w:r>
      <w:r w:rsidR="00F04C22">
        <w:rPr>
          <w:rFonts w:ascii="Times New Roman" w:hAnsi="Times New Roman" w:cs="Times New Roman"/>
          <w:noProof/>
          <w:lang w:val="en-US"/>
        </w:rPr>
        <w:t xml:space="preserve"> terrorizmit. P</w:t>
      </w:r>
      <w:r w:rsidR="00F605B9">
        <w:rPr>
          <w:rFonts w:ascii="Times New Roman" w:hAnsi="Times New Roman" w:cs="Times New Roman"/>
          <w:noProof/>
          <w:lang w:val="en-US"/>
        </w:rPr>
        <w:t>ë</w:t>
      </w:r>
      <w:r w:rsidR="00F04C22">
        <w:rPr>
          <w:rFonts w:ascii="Times New Roman" w:hAnsi="Times New Roman" w:cs="Times New Roman"/>
          <w:noProof/>
          <w:lang w:val="en-US"/>
        </w:rPr>
        <w:t>rp</w:t>
      </w:r>
      <w:r w:rsidRPr="00297089">
        <w:rPr>
          <w:rFonts w:ascii="Times New Roman" w:hAnsi="Times New Roman" w:cs="Times New Roman"/>
          <w:noProof/>
          <w:lang w:val="en-US"/>
        </w:rPr>
        <w:t>ara se të pranojnë një kripto-aset për tregtim, operatorët duhet të vlerësojnë përshtatshmërinë dhe përputhjen me rregullat e operimit, ku pjesë thelbësore është vlerësimi i rrezikut të pastrimit të parave/financimit të terrorizmit. Rregullat e operimit përfshijnë kushte për mbajtjen e aseteve të disponueshme për tregtim, pragje likuiditeti, raportime periodike dhe kushte për pezullim</w:t>
      </w:r>
      <w:r w:rsidR="00F04C22">
        <w:rPr>
          <w:rFonts w:ascii="Times New Roman" w:hAnsi="Times New Roman" w:cs="Times New Roman"/>
          <w:noProof/>
          <w:lang w:val="en-US"/>
        </w:rPr>
        <w:t xml:space="preserve">, </w:t>
      </w:r>
      <w:r w:rsidRPr="00297089">
        <w:rPr>
          <w:rFonts w:ascii="Times New Roman" w:hAnsi="Times New Roman" w:cs="Times New Roman"/>
          <w:noProof/>
          <w:lang w:val="en-US"/>
        </w:rPr>
        <w:t xml:space="preserve">duke i dhënë operatorit mekanizma </w:t>
      </w:r>
      <w:r w:rsidR="00F04C22">
        <w:rPr>
          <w:rFonts w:ascii="Times New Roman" w:hAnsi="Times New Roman" w:cs="Times New Roman"/>
          <w:noProof/>
          <w:lang w:val="en-US"/>
        </w:rPr>
        <w:t>‘</w:t>
      </w:r>
      <w:r w:rsidRPr="00297089">
        <w:rPr>
          <w:rFonts w:ascii="Times New Roman" w:hAnsi="Times New Roman" w:cs="Times New Roman"/>
          <w:noProof/>
          <w:lang w:val="en-US"/>
        </w:rPr>
        <w:t>ex ante</w:t>
      </w:r>
      <w:r w:rsidR="00F04C22">
        <w:rPr>
          <w:rFonts w:ascii="Times New Roman" w:hAnsi="Times New Roman" w:cs="Times New Roman"/>
          <w:noProof/>
          <w:lang w:val="en-US"/>
        </w:rPr>
        <w:t>’</w:t>
      </w:r>
      <w:r w:rsidRPr="00297089">
        <w:rPr>
          <w:rFonts w:ascii="Times New Roman" w:hAnsi="Times New Roman" w:cs="Times New Roman"/>
          <w:noProof/>
          <w:lang w:val="en-US"/>
        </w:rPr>
        <w:t xml:space="preserve"> dhe </w:t>
      </w:r>
      <w:r w:rsidR="00F04C22">
        <w:rPr>
          <w:rFonts w:ascii="Times New Roman" w:hAnsi="Times New Roman" w:cs="Times New Roman"/>
          <w:noProof/>
          <w:lang w:val="en-US"/>
        </w:rPr>
        <w:t>‘</w:t>
      </w:r>
      <w:r w:rsidRPr="00297089">
        <w:rPr>
          <w:rFonts w:ascii="Times New Roman" w:hAnsi="Times New Roman" w:cs="Times New Roman"/>
          <w:noProof/>
          <w:lang w:val="en-US"/>
        </w:rPr>
        <w:t>ex post</w:t>
      </w:r>
      <w:r w:rsidR="00F04C22">
        <w:rPr>
          <w:rFonts w:ascii="Times New Roman" w:hAnsi="Times New Roman" w:cs="Times New Roman"/>
          <w:noProof/>
          <w:lang w:val="en-US"/>
        </w:rPr>
        <w:t>’</w:t>
      </w:r>
      <w:r w:rsidRPr="00297089">
        <w:rPr>
          <w:rFonts w:ascii="Times New Roman" w:hAnsi="Times New Roman" w:cs="Times New Roman"/>
          <w:noProof/>
          <w:lang w:val="en-US"/>
        </w:rPr>
        <w:t xml:space="preserve"> për të mbyllur ekspozime të rritura, p.sh., kur shfaqen shenja rreziku AML. </w:t>
      </w:r>
    </w:p>
    <w:p w14:paraId="61603F02" w14:textId="77777777" w:rsidR="00F04C22" w:rsidRDefault="00F04C22" w:rsidP="00297089">
      <w:pPr>
        <w:pStyle w:val="ListParagraph"/>
        <w:spacing w:after="0" w:line="276" w:lineRule="auto"/>
        <w:ind w:left="0"/>
        <w:jc w:val="both"/>
        <w:rPr>
          <w:rFonts w:ascii="Times New Roman" w:hAnsi="Times New Roman" w:cs="Times New Roman"/>
          <w:noProof/>
          <w:lang w:val="en-US"/>
        </w:rPr>
      </w:pPr>
    </w:p>
    <w:p w14:paraId="51FE788F" w14:textId="7160EC8F" w:rsidR="00297089" w:rsidRPr="00297089" w:rsidRDefault="00297089" w:rsidP="00297089">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(ii) Rregullat e platformës</w:t>
      </w:r>
      <w:r w:rsidR="00F04C22">
        <w:rPr>
          <w:rFonts w:ascii="Times New Roman" w:hAnsi="Times New Roman" w:cs="Times New Roman"/>
          <w:noProof/>
          <w:lang w:val="en-US"/>
        </w:rPr>
        <w:t xml:space="preserve"> s</w:t>
      </w:r>
      <w:r w:rsidR="00F605B9">
        <w:rPr>
          <w:rFonts w:ascii="Times New Roman" w:hAnsi="Times New Roman" w:cs="Times New Roman"/>
          <w:noProof/>
          <w:lang w:val="en-US"/>
        </w:rPr>
        <w:t>ë</w:t>
      </w:r>
      <w:r w:rsidR="00F04C22">
        <w:rPr>
          <w:rFonts w:ascii="Times New Roman" w:hAnsi="Times New Roman" w:cs="Times New Roman"/>
          <w:noProof/>
          <w:lang w:val="en-US"/>
        </w:rPr>
        <w:t xml:space="preserve"> tregtimit t</w:t>
      </w:r>
      <w:r w:rsidR="00F605B9">
        <w:rPr>
          <w:rFonts w:ascii="Times New Roman" w:hAnsi="Times New Roman" w:cs="Times New Roman"/>
          <w:noProof/>
          <w:lang w:val="en-US"/>
        </w:rPr>
        <w:t>ë</w:t>
      </w:r>
      <w:r w:rsidR="00F04C22">
        <w:rPr>
          <w:rFonts w:ascii="Times New Roman" w:hAnsi="Times New Roman" w:cs="Times New Roman"/>
          <w:noProof/>
          <w:lang w:val="en-US"/>
        </w:rPr>
        <w:t xml:space="preserve"> kripto-aseteve</w:t>
      </w:r>
      <w:r w:rsidRPr="00297089">
        <w:rPr>
          <w:rFonts w:ascii="Times New Roman" w:hAnsi="Times New Roman" w:cs="Times New Roman"/>
          <w:noProof/>
          <w:lang w:val="en-US"/>
        </w:rPr>
        <w:t xml:space="preserve"> i “përkthejnë” kërkesat e Ligjit nr. 9917 në procese tekniko-operacionale. Operatorët duhet të hartojnë dhe zbatojnë rregulla për tregtim të drejtë e të rregullt, ekzekutim efikas, klerim të transaksioneve të kripto-aseteve dhe fondeve – të gjitha të zbatueshme vetëm mbi klientë të identifikuar dhe marrëdhënie të monitoruara sipas ligjit AML. Këto rregulla, të dokumentuara në dosjen e autorizimit, krijojnë gjurmë auditimi dhe akses për autoritetet përgjegjëse kur kërkojnë informacion. </w:t>
      </w:r>
    </w:p>
    <w:p w14:paraId="66CCEF68" w14:textId="77777777" w:rsidR="00F04C22" w:rsidRDefault="00F04C22" w:rsidP="00297089">
      <w:pPr>
        <w:pStyle w:val="ListParagraph"/>
        <w:spacing w:after="0" w:line="276" w:lineRule="auto"/>
        <w:ind w:left="0"/>
        <w:jc w:val="both"/>
        <w:rPr>
          <w:rFonts w:ascii="Times New Roman" w:hAnsi="Times New Roman" w:cs="Times New Roman"/>
          <w:noProof/>
          <w:lang w:val="en-US"/>
        </w:rPr>
      </w:pPr>
    </w:p>
    <w:p w14:paraId="7C6CE257" w14:textId="5E715084" w:rsidR="006A34F8" w:rsidRPr="006A34F8" w:rsidRDefault="00297089" w:rsidP="006A34F8">
      <w:pPr>
        <w:pStyle w:val="ListParagraph"/>
        <w:spacing w:after="0" w:line="276" w:lineRule="auto"/>
        <w:ind w:left="0"/>
        <w:jc w:val="both"/>
        <w:rPr>
          <w:rFonts w:ascii="Times New Roman" w:hAnsi="Times New Roman" w:cs="Times New Roman"/>
          <w:noProof/>
          <w:lang w:val="en-US"/>
        </w:rPr>
      </w:pPr>
      <w:r w:rsidRPr="00297089">
        <w:rPr>
          <w:rFonts w:ascii="Times New Roman" w:hAnsi="Times New Roman" w:cs="Times New Roman"/>
          <w:noProof/>
          <w:lang w:val="en-US"/>
        </w:rPr>
        <w:t xml:space="preserve">(iii) Koordinim mbikëqyrës me </w:t>
      </w:r>
      <w:r w:rsidR="00F04C22">
        <w:rPr>
          <w:rFonts w:ascii="Times New Roman" w:hAnsi="Times New Roman" w:cs="Times New Roman"/>
          <w:noProof/>
          <w:lang w:val="en-US"/>
        </w:rPr>
        <w:t>AIF</w:t>
      </w:r>
      <w:r w:rsidRPr="00297089">
        <w:rPr>
          <w:rFonts w:ascii="Times New Roman" w:hAnsi="Times New Roman" w:cs="Times New Roman"/>
          <w:noProof/>
          <w:lang w:val="en-US"/>
        </w:rPr>
        <w:t xml:space="preserve"> dhe autoritetet sektoriale. </w:t>
      </w:r>
      <w:r w:rsidR="00F04C22">
        <w:rPr>
          <w:rFonts w:ascii="Times New Roman" w:hAnsi="Times New Roman" w:cs="Times New Roman"/>
          <w:noProof/>
          <w:lang w:val="en-US"/>
        </w:rPr>
        <w:t>AIF</w:t>
      </w:r>
      <w:r w:rsidRPr="00297089">
        <w:rPr>
          <w:rFonts w:ascii="Times New Roman" w:hAnsi="Times New Roman" w:cs="Times New Roman"/>
          <w:noProof/>
          <w:lang w:val="en-US"/>
        </w:rPr>
        <w:t xml:space="preserve"> bashkëpunon me AMF dhe Bankën e Shqipërisë si autoritete mbikëqyrëse sektoriale për subjektet përkatëse. </w:t>
      </w:r>
    </w:p>
    <w:p w14:paraId="5860A1F2"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6D9A1E70" w14:textId="454E3630" w:rsidR="006A34F8" w:rsidRDefault="006A34F8" w:rsidP="00F605B9">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 xml:space="preserve">Tregtimi </w:t>
      </w:r>
      <w:r w:rsidR="009C436F">
        <w:rPr>
          <w:rFonts w:ascii="Times New Roman" w:hAnsi="Times New Roman" w:cs="Times New Roman"/>
          <w:b/>
          <w:bCs/>
          <w:noProof/>
          <w:lang w:val="en-US"/>
        </w:rPr>
        <w:t>sekondar</w:t>
      </w:r>
      <w:r w:rsidRPr="006A34F8">
        <w:rPr>
          <w:rFonts w:ascii="Times New Roman" w:hAnsi="Times New Roman" w:cs="Times New Roman"/>
          <w:b/>
          <w:bCs/>
          <w:noProof/>
          <w:lang w:val="en-US"/>
        </w:rPr>
        <w:t xml:space="preserve"> dhe rreziku i likuiditetit.</w:t>
      </w:r>
      <w:r w:rsidRPr="006A34F8">
        <w:rPr>
          <w:rFonts w:ascii="Times New Roman" w:hAnsi="Times New Roman" w:cs="Times New Roman"/>
          <w:noProof/>
          <w:lang w:val="en-US"/>
        </w:rPr>
        <w:t xml:space="preserve"> </w:t>
      </w:r>
    </w:p>
    <w:p w14:paraId="1953CD17" w14:textId="77777777" w:rsidR="006A34F8" w:rsidRDefault="006A34F8" w:rsidP="00F04C22">
      <w:pPr>
        <w:pStyle w:val="ListParagraph"/>
        <w:spacing w:after="0" w:line="276" w:lineRule="auto"/>
        <w:ind w:left="0"/>
        <w:jc w:val="both"/>
        <w:rPr>
          <w:rFonts w:ascii="Times New Roman" w:hAnsi="Times New Roman" w:cs="Times New Roman"/>
          <w:noProof/>
          <w:lang w:val="en-US"/>
        </w:rPr>
      </w:pPr>
    </w:p>
    <w:p w14:paraId="4D48E572" w14:textId="391B990D" w:rsid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Projektligji trajton tregtimin </w:t>
      </w:r>
      <w:r w:rsidR="009C436F">
        <w:rPr>
          <w:rFonts w:ascii="Times New Roman" w:hAnsi="Times New Roman" w:cs="Times New Roman"/>
          <w:noProof/>
          <w:lang w:val="en-US"/>
        </w:rPr>
        <w:t>sekondar</w:t>
      </w:r>
      <w:r w:rsidRPr="00F04C22">
        <w:rPr>
          <w:rFonts w:ascii="Times New Roman" w:hAnsi="Times New Roman" w:cs="Times New Roman"/>
          <w:noProof/>
          <w:lang w:val="en-US"/>
        </w:rPr>
        <w:t xml:space="preserve"> si një hallkë të veçantë të mbrojtjes së klientit dhe të funksionimit të drejtë të tregut, duke i kërkuar operatorit të platformës së tregtimit për kripto-asete të vendosë rregulla të qarta dhe të zbatueshme si në fazën e pranimit për tregtim, ashtu edhe gjatë vijimit të pranimit. Së pari, rregullat e operimit duhet të jenë objektive dhe të paanshme, të garantojnë qasje të ndershme dhe të hapur, si dhe tregtim të drejtë e të rregullt me kritere të përcaktuara për ekzekutim efikas. Po në këto rregulla, platforma përcakton kushte për të mbajtur kripto-asetet të disponueshme për tregtim, përfshirë pragje likuiditeti dhe raportim periodik, si dhe kushtet për pezullimin e tregtimit. K</w:t>
      </w:r>
      <w:r w:rsidR="00F605B9">
        <w:rPr>
          <w:rFonts w:ascii="Times New Roman" w:hAnsi="Times New Roman" w:cs="Times New Roman"/>
          <w:noProof/>
          <w:lang w:val="en-US"/>
        </w:rPr>
        <w:t>ë</w:t>
      </w:r>
      <w:r>
        <w:rPr>
          <w:rFonts w:ascii="Times New Roman" w:hAnsi="Times New Roman" w:cs="Times New Roman"/>
          <w:noProof/>
          <w:lang w:val="en-US"/>
        </w:rPr>
        <w:t xml:space="preserve">to dispozita </w:t>
      </w:r>
      <w:r w:rsidRPr="00F04C22">
        <w:rPr>
          <w:rFonts w:ascii="Times New Roman" w:hAnsi="Times New Roman" w:cs="Times New Roman"/>
          <w:noProof/>
          <w:lang w:val="en-US"/>
        </w:rPr>
        <w:t>e bë</w:t>
      </w:r>
      <w:r>
        <w:rPr>
          <w:rFonts w:ascii="Times New Roman" w:hAnsi="Times New Roman" w:cs="Times New Roman"/>
          <w:noProof/>
          <w:lang w:val="en-US"/>
        </w:rPr>
        <w:t>j</w:t>
      </w:r>
      <w:r w:rsidRPr="00F04C22">
        <w:rPr>
          <w:rFonts w:ascii="Times New Roman" w:hAnsi="Times New Roman" w:cs="Times New Roman"/>
          <w:noProof/>
          <w:lang w:val="en-US"/>
        </w:rPr>
        <w:t>n</w:t>
      </w:r>
      <w:r>
        <w:rPr>
          <w:rFonts w:ascii="Times New Roman" w:hAnsi="Times New Roman" w:cs="Times New Roman"/>
          <w:noProof/>
          <w:lang w:val="en-US"/>
        </w:rPr>
        <w:t>ë</w:t>
      </w:r>
      <w:r w:rsidRPr="00F04C22">
        <w:rPr>
          <w:rFonts w:ascii="Times New Roman" w:hAnsi="Times New Roman" w:cs="Times New Roman"/>
          <w:noProof/>
          <w:lang w:val="en-US"/>
        </w:rPr>
        <w:t xml:space="preserve"> menaxhimin e likuiditetit pjesë të detyrueshme të qeverisjes së tregut </w:t>
      </w:r>
      <w:r w:rsidR="009C436F">
        <w:rPr>
          <w:rFonts w:ascii="Times New Roman" w:hAnsi="Times New Roman" w:cs="Times New Roman"/>
          <w:noProof/>
          <w:lang w:val="en-US"/>
        </w:rPr>
        <w:t>sekondar</w:t>
      </w:r>
      <w:r w:rsidRPr="00F04C22">
        <w:rPr>
          <w:rFonts w:ascii="Times New Roman" w:hAnsi="Times New Roman" w:cs="Times New Roman"/>
          <w:noProof/>
          <w:lang w:val="en-US"/>
        </w:rPr>
        <w:t xml:space="preserve"> dhe i j</w:t>
      </w:r>
      <w:r>
        <w:rPr>
          <w:rFonts w:ascii="Times New Roman" w:hAnsi="Times New Roman" w:cs="Times New Roman"/>
          <w:noProof/>
          <w:lang w:val="en-US"/>
        </w:rPr>
        <w:t>apin</w:t>
      </w:r>
      <w:r w:rsidRPr="00F04C22">
        <w:rPr>
          <w:rFonts w:ascii="Times New Roman" w:hAnsi="Times New Roman" w:cs="Times New Roman"/>
          <w:noProof/>
          <w:lang w:val="en-US"/>
        </w:rPr>
        <w:t xml:space="preserve"> operatorit</w:t>
      </w:r>
      <w:r>
        <w:rPr>
          <w:rFonts w:ascii="Times New Roman" w:hAnsi="Times New Roman" w:cs="Times New Roman"/>
          <w:noProof/>
          <w:lang w:val="en-US"/>
        </w:rPr>
        <w:t xml:space="preserve"> të platformës</w:t>
      </w:r>
      <w:r w:rsidRPr="00F04C22">
        <w:rPr>
          <w:rFonts w:ascii="Times New Roman" w:hAnsi="Times New Roman" w:cs="Times New Roman"/>
          <w:noProof/>
          <w:lang w:val="en-US"/>
        </w:rPr>
        <w:t xml:space="preserve"> instrumente të qarta për të parandaluar </w:t>
      </w:r>
      <w:r>
        <w:rPr>
          <w:rFonts w:ascii="Times New Roman" w:hAnsi="Times New Roman" w:cs="Times New Roman"/>
          <w:noProof/>
          <w:lang w:val="en-US"/>
        </w:rPr>
        <w:t>ulje</w:t>
      </w:r>
      <w:r w:rsidRPr="00F04C22">
        <w:rPr>
          <w:rFonts w:ascii="Times New Roman" w:hAnsi="Times New Roman" w:cs="Times New Roman"/>
          <w:noProof/>
          <w:lang w:val="en-US"/>
        </w:rPr>
        <w:t xml:space="preserve"> të papritur të likuiditetit ose kushte të çrregullta tregtimi. </w:t>
      </w:r>
    </w:p>
    <w:p w14:paraId="27555CE3" w14:textId="77777777" w:rsidR="00F04C22" w:rsidRPr="00F04C22" w:rsidRDefault="00F04C22" w:rsidP="00F04C22">
      <w:pPr>
        <w:pStyle w:val="ListParagraph"/>
        <w:spacing w:after="0" w:line="276" w:lineRule="auto"/>
        <w:ind w:left="0"/>
        <w:jc w:val="both"/>
        <w:rPr>
          <w:rFonts w:ascii="Times New Roman" w:hAnsi="Times New Roman" w:cs="Times New Roman"/>
          <w:noProof/>
          <w:lang w:val="en-US"/>
        </w:rPr>
      </w:pPr>
    </w:p>
    <w:p w14:paraId="009737B6" w14:textId="77777777" w:rsid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Para çdo pranimi për tregtim, operatori vlerëson përshtatshmërinë e kripto-asetit në raport me rregullat e platformës, duke shqyrtuar besueshmërinë e zgjidhjeve teknike dhe lidhjet e mundshme me veprimtari të paligjshme/mashtruese, përfshirë historikun dhe reputacionin e emetuesit dhe ekipit zhvillues. Kjo shërben si “gatekeeping” për cilësinë e listimeve dhe zvogëlon rrezikun që asete me defekte teknike apo me ekspozim të lartë rreziku të shndërrohen në burim të çrregullimit të tregut pas listimit. Po kështu, rregullat e operimit ndalojnë pranimin e aseteve me funksione të brendshme anonimizimi, përveçse kur operatori mund të identifikojë zotëruesit dhe historikun e transaksioneve, çka ul rrezikun e likuiditetit “të rremë” dhe të abuzimit strukturor. </w:t>
      </w:r>
    </w:p>
    <w:p w14:paraId="61B5FE07" w14:textId="77777777" w:rsidR="00F04C22" w:rsidRPr="00F04C22" w:rsidRDefault="00F04C22" w:rsidP="00F04C22">
      <w:pPr>
        <w:pStyle w:val="ListParagraph"/>
        <w:spacing w:after="0" w:line="276" w:lineRule="auto"/>
        <w:ind w:left="0"/>
        <w:jc w:val="both"/>
        <w:rPr>
          <w:rFonts w:ascii="Times New Roman" w:hAnsi="Times New Roman" w:cs="Times New Roman"/>
          <w:noProof/>
          <w:lang w:val="en-US"/>
        </w:rPr>
      </w:pPr>
    </w:p>
    <w:p w14:paraId="4440E6CE" w14:textId="0092B5AB" w:rsid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Në funksionimin ditor, platforma mban sisteme tregtimi </w:t>
      </w:r>
      <w:r>
        <w:rPr>
          <w:rFonts w:ascii="Times New Roman" w:hAnsi="Times New Roman" w:cs="Times New Roman"/>
          <w:noProof/>
          <w:lang w:val="en-US"/>
        </w:rPr>
        <w:t>elastike dhe të qëndrueshme,</w:t>
      </w:r>
      <w:r w:rsidRPr="00F04C22">
        <w:rPr>
          <w:rFonts w:ascii="Times New Roman" w:hAnsi="Times New Roman" w:cs="Times New Roman"/>
          <w:noProof/>
          <w:lang w:val="en-US"/>
        </w:rPr>
        <w:t xml:space="preserve"> kapacitet për</w:t>
      </w:r>
      <w:r>
        <w:rPr>
          <w:rFonts w:ascii="Times New Roman" w:hAnsi="Times New Roman" w:cs="Times New Roman"/>
          <w:noProof/>
          <w:lang w:val="en-US"/>
        </w:rPr>
        <w:t xml:space="preserve"> të përballuar</w:t>
      </w:r>
      <w:r w:rsidRPr="00F04C22">
        <w:rPr>
          <w:rFonts w:ascii="Times New Roman" w:hAnsi="Times New Roman" w:cs="Times New Roman"/>
          <w:noProof/>
          <w:lang w:val="en-US"/>
        </w:rPr>
        <w:t xml:space="preserve"> vëllime</w:t>
      </w:r>
      <w:r>
        <w:rPr>
          <w:rFonts w:ascii="Times New Roman" w:hAnsi="Times New Roman" w:cs="Times New Roman"/>
          <w:noProof/>
          <w:lang w:val="en-US"/>
        </w:rPr>
        <w:t xml:space="preserve"> të pikut</w:t>
      </w:r>
      <w:r w:rsidRPr="00F04C22">
        <w:rPr>
          <w:rFonts w:ascii="Times New Roman" w:hAnsi="Times New Roman" w:cs="Times New Roman"/>
          <w:noProof/>
          <w:lang w:val="en-US"/>
        </w:rPr>
        <w:t>, tregtim të rregullt nën stres, kontrolle para</w:t>
      </w:r>
      <w:r>
        <w:rPr>
          <w:rFonts w:ascii="Times New Roman" w:hAnsi="Times New Roman" w:cs="Times New Roman"/>
          <w:noProof/>
          <w:lang w:val="en-US"/>
        </w:rPr>
        <w:t xml:space="preserve"> </w:t>
      </w:r>
      <w:r w:rsidRPr="00F04C22">
        <w:rPr>
          <w:rFonts w:ascii="Times New Roman" w:hAnsi="Times New Roman" w:cs="Times New Roman"/>
          <w:noProof/>
          <w:lang w:val="en-US"/>
        </w:rPr>
        <w:t>tregtimit për të refuzuar urdhra jashtë pragjeve të çmimit/vëllimit ose qartësisht të gabuar</w:t>
      </w:r>
      <w:r>
        <w:rPr>
          <w:rFonts w:ascii="Times New Roman" w:hAnsi="Times New Roman" w:cs="Times New Roman"/>
          <w:noProof/>
          <w:lang w:val="en-US"/>
        </w:rPr>
        <w:t>a</w:t>
      </w:r>
      <w:r w:rsidRPr="00F04C22">
        <w:rPr>
          <w:rFonts w:ascii="Times New Roman" w:hAnsi="Times New Roman" w:cs="Times New Roman"/>
          <w:noProof/>
          <w:lang w:val="en-US"/>
        </w:rPr>
        <w:t>, testim të plotë</w:t>
      </w:r>
      <w:r>
        <w:rPr>
          <w:rFonts w:ascii="Times New Roman" w:hAnsi="Times New Roman" w:cs="Times New Roman"/>
          <w:noProof/>
          <w:lang w:val="en-US"/>
        </w:rPr>
        <w:t xml:space="preserve"> të sistemeve</w:t>
      </w:r>
      <w:r w:rsidRPr="00F04C22">
        <w:rPr>
          <w:rFonts w:ascii="Times New Roman" w:hAnsi="Times New Roman" w:cs="Times New Roman"/>
          <w:noProof/>
          <w:lang w:val="en-US"/>
        </w:rPr>
        <w:t xml:space="preserve"> dhe </w:t>
      </w:r>
      <w:r>
        <w:rPr>
          <w:rFonts w:ascii="Times New Roman" w:hAnsi="Times New Roman" w:cs="Times New Roman"/>
          <w:noProof/>
          <w:lang w:val="en-US"/>
        </w:rPr>
        <w:t>politika</w:t>
      </w:r>
      <w:r w:rsidRPr="00F04C22">
        <w:rPr>
          <w:rFonts w:ascii="Times New Roman" w:hAnsi="Times New Roman" w:cs="Times New Roman"/>
          <w:noProof/>
          <w:lang w:val="en-US"/>
        </w:rPr>
        <w:t xml:space="preserve"> </w:t>
      </w:r>
      <w:r>
        <w:rPr>
          <w:rFonts w:ascii="Times New Roman" w:hAnsi="Times New Roman" w:cs="Times New Roman"/>
          <w:noProof/>
          <w:lang w:val="en-US"/>
        </w:rPr>
        <w:t>për</w:t>
      </w:r>
      <w:r w:rsidRPr="00F04C22">
        <w:rPr>
          <w:rFonts w:ascii="Times New Roman" w:hAnsi="Times New Roman" w:cs="Times New Roman"/>
          <w:noProof/>
          <w:lang w:val="en-US"/>
        </w:rPr>
        <w:t xml:space="preserve"> </w:t>
      </w:r>
      <w:r>
        <w:rPr>
          <w:rFonts w:ascii="Times New Roman" w:hAnsi="Times New Roman" w:cs="Times New Roman"/>
          <w:noProof/>
          <w:lang w:val="en-US"/>
        </w:rPr>
        <w:t>vazhdimësinë e</w:t>
      </w:r>
      <w:r w:rsidRPr="00F04C22">
        <w:rPr>
          <w:rFonts w:ascii="Times New Roman" w:hAnsi="Times New Roman" w:cs="Times New Roman"/>
          <w:noProof/>
          <w:lang w:val="en-US"/>
        </w:rPr>
        <w:t xml:space="preserve"> biznesit. Këto kërkesa reduktojnë probabilitetin që bllokimet teknologjike apo </w:t>
      </w:r>
      <w:r>
        <w:rPr>
          <w:rFonts w:ascii="Times New Roman" w:hAnsi="Times New Roman" w:cs="Times New Roman"/>
          <w:noProof/>
          <w:lang w:val="en-US"/>
        </w:rPr>
        <w:t>fluksi i</w:t>
      </w:r>
      <w:r w:rsidRPr="00F04C22">
        <w:rPr>
          <w:rFonts w:ascii="Times New Roman" w:hAnsi="Times New Roman" w:cs="Times New Roman"/>
          <w:noProof/>
          <w:lang w:val="en-US"/>
        </w:rPr>
        <w:t xml:space="preserve"> urdhrave të nxitura nga paniku të degradojnë likuiditetin dhe funksionimin e rregullt</w:t>
      </w:r>
      <w:r>
        <w:rPr>
          <w:rFonts w:ascii="Times New Roman" w:hAnsi="Times New Roman" w:cs="Times New Roman"/>
          <w:noProof/>
          <w:lang w:val="en-US"/>
        </w:rPr>
        <w:t xml:space="preserve"> të tregtimit</w:t>
      </w:r>
      <w:r w:rsidRPr="00F04C22">
        <w:rPr>
          <w:rFonts w:ascii="Times New Roman" w:hAnsi="Times New Roman" w:cs="Times New Roman"/>
          <w:noProof/>
          <w:lang w:val="en-US"/>
        </w:rPr>
        <w:t>. Në të njëjtën kohë, platforma duhet të jetë në gjendje të parandalojë dhe të zbulojë abuzimin me tregun dhe keqpërdorimin për pastrim parash/financim terrorizmi, me detyrim njoftimi te autoriteti</w:t>
      </w:r>
      <w:r>
        <w:rPr>
          <w:rFonts w:ascii="Times New Roman" w:hAnsi="Times New Roman" w:cs="Times New Roman"/>
          <w:noProof/>
          <w:lang w:val="en-US"/>
        </w:rPr>
        <w:t xml:space="preserve"> n</w:t>
      </w:r>
      <w:r w:rsidR="00F605B9">
        <w:rPr>
          <w:rFonts w:ascii="Times New Roman" w:hAnsi="Times New Roman" w:cs="Times New Roman"/>
          <w:noProof/>
          <w:lang w:val="en-US"/>
        </w:rPr>
        <w:t>ë</w:t>
      </w:r>
      <w:r>
        <w:rPr>
          <w:rFonts w:ascii="Times New Roman" w:hAnsi="Times New Roman" w:cs="Times New Roman"/>
          <w:noProof/>
          <w:lang w:val="en-US"/>
        </w:rPr>
        <w:t xml:space="preserve"> rastet </w:t>
      </w:r>
      <w:r w:rsidRPr="00F04C22">
        <w:rPr>
          <w:rFonts w:ascii="Times New Roman" w:hAnsi="Times New Roman" w:cs="Times New Roman"/>
          <w:noProof/>
          <w:lang w:val="en-US"/>
        </w:rPr>
        <w:t xml:space="preserve"> kur identifikohen raste ose tentativa abuzimi në ose përmes sistemeve të saj. </w:t>
      </w:r>
    </w:p>
    <w:p w14:paraId="19FACC22" w14:textId="77777777" w:rsidR="00F04C22" w:rsidRPr="00F04C22" w:rsidRDefault="00F04C22" w:rsidP="00F04C22">
      <w:pPr>
        <w:pStyle w:val="ListParagraph"/>
        <w:spacing w:after="0" w:line="276" w:lineRule="auto"/>
        <w:ind w:left="0"/>
        <w:jc w:val="both"/>
        <w:rPr>
          <w:rFonts w:ascii="Times New Roman" w:hAnsi="Times New Roman" w:cs="Times New Roman"/>
          <w:noProof/>
          <w:lang w:val="en-US"/>
        </w:rPr>
      </w:pPr>
    </w:p>
    <w:p w14:paraId="08E354B1" w14:textId="77777777" w:rsid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Transparenca para dhe pas tregtimit vepron si stabilizues i likuiditetit. Operatorët publikojnë çmimet e ofertave dhe kërkesave dhe librin e urdhrave për çmimet e reklamuar gjatë orarit të tregtimit; pas ekzekutimit, publikojnë çmimin, vëllimin dhe kohën e transaksioneve. Ky informacion vihet në dispozicion me qasje të paanshme, falas 15 minuta pas publikimit dhe ruhet për të paktën dy vjet, duke forcuar formimin e çmimit dhe duke ulur asimetrinë e informacionit që shpesh prodhon “spreads” të gjerë dhe likuiditet të dobët. </w:t>
      </w:r>
    </w:p>
    <w:p w14:paraId="5842B690" w14:textId="77777777" w:rsidR="00F04C22" w:rsidRPr="00F04C22" w:rsidRDefault="00F04C22" w:rsidP="00F04C22">
      <w:pPr>
        <w:pStyle w:val="ListParagraph"/>
        <w:spacing w:after="0" w:line="276" w:lineRule="auto"/>
        <w:ind w:left="0"/>
        <w:jc w:val="both"/>
        <w:rPr>
          <w:rFonts w:ascii="Times New Roman" w:hAnsi="Times New Roman" w:cs="Times New Roman"/>
          <w:noProof/>
          <w:lang w:val="en-US"/>
        </w:rPr>
      </w:pPr>
    </w:p>
    <w:p w14:paraId="1434BFCD" w14:textId="77777777" w:rsid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Për klerimin dhe shlyerjen operacionale, projektligji kërkon që operatori të iniciojë klerimin përfundimtar në regjistrin e shpërndarë brenda 24 orëve nga ekzekutimi (ose, jashtë regjistrit të shpërndarë, brenda ditës), duke siguruar dorëzim të shpejtë dhe të parashikueshëm të aseteve/fondeve dhe duke ulur rrezikun e grumbullimit të “pozicioneve në pritje” që e tensionojnë likuiditetin. Për më tepër, strukturat e tarifave duhet të jenë transparente, të drejta dhe të paanshme dhe nuk mund të krijojnë stimuj për vendosje/modifikim/anulim urdhrash apo ekzekutim transaksionesh në mënyra që prodhojnë kushte të parregullta tregtimi ose abuzim me tregun. </w:t>
      </w:r>
    </w:p>
    <w:p w14:paraId="6DF7542D" w14:textId="77777777" w:rsidR="00F04C22" w:rsidRPr="00F04C22" w:rsidRDefault="00F04C22" w:rsidP="00F04C22">
      <w:pPr>
        <w:pStyle w:val="ListParagraph"/>
        <w:spacing w:after="0" w:line="276" w:lineRule="auto"/>
        <w:ind w:left="0"/>
        <w:jc w:val="both"/>
        <w:rPr>
          <w:rFonts w:ascii="Times New Roman" w:hAnsi="Times New Roman" w:cs="Times New Roman"/>
          <w:noProof/>
          <w:lang w:val="en-US"/>
        </w:rPr>
      </w:pPr>
    </w:p>
    <w:p w14:paraId="46AEE979" w14:textId="77777777" w:rsid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Mikrostruktura e tregut adresohet edhe përmes ndalimit të tregtimit për llogari të vet nga operatori në platformën që ai vetë operon dhe kufizimit të tregtimit të bazuar në parimin e përputhshmërisë vetëm me pëlqimin e klientit, nën monitorimin e autoritetit përgjegjës. Këto dispozita zvogëlojnë rrezikun e konflikteve të interesit që mund të dëmtojnë likuiditetin real dhe cilësinë e çmimeve, veçanërisht në tregje me libër-urdhrash të cekët. </w:t>
      </w:r>
    </w:p>
    <w:p w14:paraId="181ACDCD" w14:textId="77777777" w:rsidR="00F04C22" w:rsidRPr="00F04C22" w:rsidRDefault="00F04C22" w:rsidP="00F04C22">
      <w:pPr>
        <w:pStyle w:val="ListParagraph"/>
        <w:spacing w:after="0" w:line="276" w:lineRule="auto"/>
        <w:ind w:left="0"/>
        <w:jc w:val="both"/>
        <w:rPr>
          <w:rFonts w:ascii="Times New Roman" w:hAnsi="Times New Roman" w:cs="Times New Roman"/>
          <w:noProof/>
          <w:lang w:val="en-US"/>
        </w:rPr>
      </w:pPr>
    </w:p>
    <w:p w14:paraId="3F3FA42B" w14:textId="75C5C82B" w:rsidR="00F04C22" w:rsidRPr="00F04C22" w:rsidRDefault="00F04C22" w:rsidP="00F04C22">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Në proceset e listimit nga ofrues të shërbimeve, ligji kërkon transparencë paraprake për llojin e listimit, tarifat, kohën/procesin/çmimin e veprimtarisë së propozuar dhe blerësit e synuar, si dhe rregulla të posaçme për identifikimin dhe menaxhimin e konflikteve të interesit (p.sh., kur listohen asete të klientëve ose kur stimujt ndikojnë në çmimin e propozuar). Këto kërkesa ulin rrezikun që praktikat e listimit të përkeqësojnë kushtet e likuiditetit ose të çojnë në </w:t>
      </w:r>
      <w:r w:rsidR="009C436F">
        <w:rPr>
          <w:rFonts w:ascii="Times New Roman" w:hAnsi="Times New Roman" w:cs="Times New Roman"/>
          <w:noProof/>
          <w:lang w:val="en-US"/>
        </w:rPr>
        <w:t>formimin e nj</w:t>
      </w:r>
      <w:r w:rsidR="00F605B9">
        <w:rPr>
          <w:rFonts w:ascii="Times New Roman" w:hAnsi="Times New Roman" w:cs="Times New Roman"/>
          <w:noProof/>
          <w:lang w:val="en-US"/>
        </w:rPr>
        <w:t>ë</w:t>
      </w:r>
      <w:r w:rsidR="009C436F">
        <w:rPr>
          <w:rFonts w:ascii="Times New Roman" w:hAnsi="Times New Roman" w:cs="Times New Roman"/>
          <w:noProof/>
          <w:lang w:val="en-US"/>
        </w:rPr>
        <w:t xml:space="preserve"> </w:t>
      </w:r>
      <w:r w:rsidRPr="00F04C22">
        <w:rPr>
          <w:rFonts w:ascii="Times New Roman" w:hAnsi="Times New Roman" w:cs="Times New Roman"/>
          <w:noProof/>
          <w:lang w:val="en-US"/>
        </w:rPr>
        <w:t>çmim</w:t>
      </w:r>
      <w:r w:rsidR="009C436F">
        <w:rPr>
          <w:rFonts w:ascii="Times New Roman" w:hAnsi="Times New Roman" w:cs="Times New Roman"/>
          <w:noProof/>
          <w:lang w:val="en-US"/>
        </w:rPr>
        <w:t>i</w:t>
      </w:r>
      <w:r w:rsidRPr="00F04C22">
        <w:rPr>
          <w:rFonts w:ascii="Times New Roman" w:hAnsi="Times New Roman" w:cs="Times New Roman"/>
          <w:noProof/>
          <w:lang w:val="en-US"/>
        </w:rPr>
        <w:t xml:space="preserve"> artificial. </w:t>
      </w:r>
    </w:p>
    <w:p w14:paraId="14715AB7" w14:textId="77777777" w:rsidR="009C436F" w:rsidRDefault="009C436F" w:rsidP="00F04C22">
      <w:pPr>
        <w:pStyle w:val="ListParagraph"/>
        <w:spacing w:after="0" w:line="276" w:lineRule="auto"/>
        <w:ind w:left="0"/>
        <w:jc w:val="both"/>
        <w:rPr>
          <w:rFonts w:ascii="Times New Roman" w:hAnsi="Times New Roman" w:cs="Times New Roman"/>
          <w:noProof/>
          <w:lang w:val="en-US"/>
        </w:rPr>
      </w:pPr>
    </w:p>
    <w:p w14:paraId="78341C16" w14:textId="1F6183AC" w:rsidR="006A34F8" w:rsidRPr="006A34F8" w:rsidRDefault="00F04C22" w:rsidP="006A34F8">
      <w:pPr>
        <w:pStyle w:val="ListParagraph"/>
        <w:spacing w:after="0" w:line="276" w:lineRule="auto"/>
        <w:ind w:left="0"/>
        <w:jc w:val="both"/>
        <w:rPr>
          <w:rFonts w:ascii="Times New Roman" w:hAnsi="Times New Roman" w:cs="Times New Roman"/>
          <w:noProof/>
          <w:lang w:val="en-US"/>
        </w:rPr>
      </w:pPr>
      <w:r w:rsidRPr="00F04C22">
        <w:rPr>
          <w:rFonts w:ascii="Times New Roman" w:hAnsi="Times New Roman" w:cs="Times New Roman"/>
          <w:noProof/>
          <w:lang w:val="en-US"/>
        </w:rPr>
        <w:t xml:space="preserve">Në tërësi, kombinimi i rregullave objektive të operimit (me pragje likuiditeti, raportim periodik dhe pezullim kur duhet), vlerësimit të përshtatshmërisë para pranimit (duke filtruar rreziqe teknologjike dhe lidhje me veprimtari të paligjshme), </w:t>
      </w:r>
      <w:r w:rsidR="009C436F">
        <w:rPr>
          <w:rFonts w:ascii="Times New Roman" w:hAnsi="Times New Roman" w:cs="Times New Roman"/>
          <w:noProof/>
          <w:lang w:val="en-US"/>
        </w:rPr>
        <w:t>qëndrueshmërisë</w:t>
      </w:r>
      <w:r w:rsidRPr="00F04C22">
        <w:rPr>
          <w:rFonts w:ascii="Times New Roman" w:hAnsi="Times New Roman" w:cs="Times New Roman"/>
          <w:noProof/>
          <w:lang w:val="en-US"/>
        </w:rPr>
        <w:t xml:space="preserve"> së sistemeve të tregtimit dhe transparencës para/pas tregtimit, siguron që tregtimi </w:t>
      </w:r>
      <w:r w:rsidR="009C436F">
        <w:rPr>
          <w:rFonts w:ascii="Times New Roman" w:hAnsi="Times New Roman" w:cs="Times New Roman"/>
          <w:noProof/>
          <w:lang w:val="en-US"/>
        </w:rPr>
        <w:t>sekondar</w:t>
      </w:r>
      <w:r w:rsidRPr="00F04C22">
        <w:rPr>
          <w:rFonts w:ascii="Times New Roman" w:hAnsi="Times New Roman" w:cs="Times New Roman"/>
          <w:noProof/>
          <w:lang w:val="en-US"/>
        </w:rPr>
        <w:t xml:space="preserve"> të zhvillohet në kushte parashikueshmërie dhe disipline. Kjo ul mundësinë e episodeve të likuiditetit të pamjaftueshëm dhe të tregtimit të çrregullt, dhe i pajis autoritetet përgjegjëse me bazën ligjore dhe sinjalet e duhura për ndërhyrje të hershme kur cilësia e tregtimit degradohet.</w:t>
      </w:r>
    </w:p>
    <w:p w14:paraId="4890F4FB"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30C55B86" w14:textId="77777777" w:rsidR="006A34F8" w:rsidRDefault="006A34F8" w:rsidP="00F605B9">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Rreziqet teknologjike dhe operacionale (ICT).</w:t>
      </w:r>
      <w:r w:rsidRPr="006A34F8">
        <w:rPr>
          <w:rFonts w:ascii="Times New Roman" w:hAnsi="Times New Roman" w:cs="Times New Roman"/>
          <w:noProof/>
          <w:lang w:val="en-US"/>
        </w:rPr>
        <w:t xml:space="preserve"> </w:t>
      </w:r>
    </w:p>
    <w:p w14:paraId="3B4CE2FC" w14:textId="77777777" w:rsidR="006A34F8" w:rsidRDefault="006A34F8" w:rsidP="006A34F8">
      <w:pPr>
        <w:pStyle w:val="ListParagraph"/>
        <w:spacing w:after="0" w:line="276" w:lineRule="auto"/>
        <w:ind w:left="0"/>
        <w:jc w:val="both"/>
        <w:rPr>
          <w:rFonts w:ascii="Times New Roman" w:hAnsi="Times New Roman" w:cs="Times New Roman"/>
          <w:noProof/>
          <w:lang w:val="en-US"/>
        </w:rPr>
      </w:pPr>
    </w:p>
    <w:p w14:paraId="6E5392FC" w14:textId="77777777" w:rsidR="009C436F" w:rsidRDefault="009C436F" w:rsidP="006A34F8">
      <w:pPr>
        <w:pStyle w:val="ListParagraph"/>
        <w:spacing w:after="0" w:line="276" w:lineRule="auto"/>
        <w:ind w:left="0"/>
        <w:jc w:val="both"/>
        <w:rPr>
          <w:rFonts w:ascii="Times New Roman" w:hAnsi="Times New Roman" w:cs="Times New Roman"/>
          <w:noProof/>
        </w:rPr>
      </w:pPr>
      <w:r w:rsidRPr="009C436F">
        <w:rPr>
          <w:rFonts w:ascii="Times New Roman" w:hAnsi="Times New Roman" w:cs="Times New Roman"/>
          <w:noProof/>
        </w:rPr>
        <w:t xml:space="preserve">Projektligji i adreson rreziqet teknologjike dhe operacionale në dy shtresa komplementare: në nivel </w:t>
      </w:r>
      <w:r>
        <w:rPr>
          <w:rFonts w:ascii="Times New Roman" w:hAnsi="Times New Roman" w:cs="Times New Roman"/>
          <w:noProof/>
        </w:rPr>
        <w:t>publikimi</w:t>
      </w:r>
      <w:r w:rsidRPr="009C436F">
        <w:rPr>
          <w:rFonts w:ascii="Times New Roman" w:hAnsi="Times New Roman" w:cs="Times New Roman"/>
          <w:noProof/>
        </w:rPr>
        <w:t xml:space="preserve"> ex-ante përmes dokumentit informues dhe në nivel infrastrukture tregtimi përmes detyrimeve organizative e teknike të operatorit të platformës së tregtimit për kripto-asete dhe të ofruesve të shërbimeve. </w:t>
      </w:r>
    </w:p>
    <w:p w14:paraId="444203F3" w14:textId="77777777" w:rsidR="009C436F" w:rsidRDefault="009C436F" w:rsidP="006A34F8">
      <w:pPr>
        <w:pStyle w:val="ListParagraph"/>
        <w:spacing w:after="0" w:line="276" w:lineRule="auto"/>
        <w:ind w:left="0"/>
        <w:jc w:val="both"/>
        <w:rPr>
          <w:rFonts w:ascii="Times New Roman" w:hAnsi="Times New Roman" w:cs="Times New Roman"/>
          <w:noProof/>
        </w:rPr>
      </w:pPr>
    </w:p>
    <w:p w14:paraId="02267B32" w14:textId="18E0CE8D" w:rsidR="006A34F8" w:rsidRDefault="009C436F" w:rsidP="006A34F8">
      <w:pPr>
        <w:pStyle w:val="ListParagraph"/>
        <w:spacing w:after="0" w:line="276" w:lineRule="auto"/>
        <w:ind w:left="0"/>
        <w:jc w:val="both"/>
        <w:rPr>
          <w:rFonts w:ascii="Times New Roman" w:hAnsi="Times New Roman" w:cs="Times New Roman"/>
          <w:noProof/>
        </w:rPr>
      </w:pPr>
      <w:r>
        <w:rPr>
          <w:rFonts w:ascii="Times New Roman" w:hAnsi="Times New Roman" w:cs="Times New Roman"/>
          <w:noProof/>
        </w:rPr>
        <w:t>D</w:t>
      </w:r>
      <w:r w:rsidRPr="009C436F">
        <w:rPr>
          <w:rFonts w:ascii="Times New Roman" w:hAnsi="Times New Roman" w:cs="Times New Roman"/>
          <w:noProof/>
        </w:rPr>
        <w:t>okumenti informues kërkon përshkrim të qartë e të verifikueshëm të teknologjisë së regjistrave të shpërndarë</w:t>
      </w:r>
      <w:r>
        <w:rPr>
          <w:rFonts w:ascii="Times New Roman" w:hAnsi="Times New Roman" w:cs="Times New Roman"/>
          <w:noProof/>
        </w:rPr>
        <w:t xml:space="preserve"> të përdorur</w:t>
      </w:r>
      <w:r w:rsidRPr="009C436F">
        <w:rPr>
          <w:rFonts w:ascii="Times New Roman" w:hAnsi="Times New Roman" w:cs="Times New Roman"/>
          <w:noProof/>
        </w:rPr>
        <w:t>, të mekanizmit të konsensusit, të arkitekturës së nyjeve, të rreziqeve të ndërprerjes dhe të masave të sigurisë (p.sh., kontrolli i aksesit, ndarja e privilegjeve, kopjet rezervë, rikuperimi pas incidentit</w:t>
      </w:r>
      <w:r>
        <w:rPr>
          <w:rFonts w:ascii="Times New Roman" w:hAnsi="Times New Roman" w:cs="Times New Roman"/>
          <w:noProof/>
        </w:rPr>
        <w:t xml:space="preserve"> etj</w:t>
      </w:r>
      <w:r w:rsidRPr="009C436F">
        <w:rPr>
          <w:rFonts w:ascii="Times New Roman" w:hAnsi="Times New Roman" w:cs="Times New Roman"/>
          <w:noProof/>
        </w:rPr>
        <w:t xml:space="preserve">). Për projektet ku ka rezervë aseteve ose të drejtë shlyerjeje, dokumenti informues shpjegon gjithashtu mënyrën se si funksionet teknike (p.sh., kontratat inteligjente që administrojnë shlyerjen) lidhen me proceset juridike dhe operacionale, si dhe skenarët e veprimit kur teknologjia dështon (p.sh., kthimi në procedura manuale, pezullim i përkohshëm i funksioneve të automatizuara). </w:t>
      </w:r>
    </w:p>
    <w:p w14:paraId="2EEBC1EA" w14:textId="77777777" w:rsidR="009C436F" w:rsidRDefault="009C436F" w:rsidP="006A34F8">
      <w:pPr>
        <w:pStyle w:val="ListParagraph"/>
        <w:spacing w:after="0" w:line="276" w:lineRule="auto"/>
        <w:ind w:left="0"/>
        <w:jc w:val="both"/>
        <w:rPr>
          <w:rFonts w:ascii="Times New Roman" w:hAnsi="Times New Roman" w:cs="Times New Roman"/>
          <w:noProof/>
        </w:rPr>
      </w:pPr>
    </w:p>
    <w:p w14:paraId="7BFD0098" w14:textId="7B05147A" w:rsidR="009C436F" w:rsidRPr="006A34F8" w:rsidRDefault="009C436F" w:rsidP="006A34F8">
      <w:pPr>
        <w:pStyle w:val="ListParagraph"/>
        <w:spacing w:after="0" w:line="276" w:lineRule="auto"/>
        <w:ind w:left="0"/>
        <w:jc w:val="both"/>
        <w:rPr>
          <w:rFonts w:ascii="Times New Roman" w:hAnsi="Times New Roman" w:cs="Times New Roman"/>
          <w:noProof/>
          <w:lang w:val="en-US"/>
        </w:rPr>
      </w:pPr>
      <w:r w:rsidRPr="00051667">
        <w:rPr>
          <w:rFonts w:ascii="Times New Roman" w:hAnsi="Times New Roman" w:cs="Times New Roman"/>
          <w:noProof/>
        </w:rPr>
        <w:t>Ky projektligj nuk synon të rregullojë teknologjinë e regjistrave të shpërndarë në vetvete, por shërbimet e lidhura me to. Në këtë kuadër, projektligji nuk përmban dispozita të cilat vendosin detyrime shtesë dhe joproporcionale mbi përdorimin e teknologjisë së regjistrave të shpërndarë.</w:t>
      </w:r>
    </w:p>
    <w:p w14:paraId="0B6CC0A0"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1C231CDA" w14:textId="77777777" w:rsidR="006A34F8" w:rsidRDefault="006A34F8" w:rsidP="00F605B9">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Rreziku i kujdestarisë dhe i çelësave privatë.</w:t>
      </w:r>
      <w:r w:rsidRPr="006A34F8">
        <w:rPr>
          <w:rFonts w:ascii="Times New Roman" w:hAnsi="Times New Roman" w:cs="Times New Roman"/>
          <w:noProof/>
          <w:lang w:val="en-US"/>
        </w:rPr>
        <w:t xml:space="preserve"> </w:t>
      </w:r>
    </w:p>
    <w:p w14:paraId="1F4B4938" w14:textId="77777777" w:rsidR="006A34F8" w:rsidRDefault="006A34F8" w:rsidP="006A34F8">
      <w:pPr>
        <w:pStyle w:val="ListParagraph"/>
        <w:spacing w:after="0" w:line="276" w:lineRule="auto"/>
        <w:ind w:left="0"/>
        <w:jc w:val="both"/>
        <w:rPr>
          <w:rFonts w:ascii="Times New Roman" w:hAnsi="Times New Roman" w:cs="Times New Roman"/>
          <w:noProof/>
          <w:lang w:val="en-US"/>
        </w:rPr>
      </w:pPr>
    </w:p>
    <w:p w14:paraId="28D46FE1" w14:textId="77777777" w:rsidR="009C436F" w:rsidRPr="009C436F" w:rsidRDefault="009C436F" w:rsidP="009C436F">
      <w:pPr>
        <w:pStyle w:val="ListParagraph"/>
        <w:spacing w:after="0" w:line="276" w:lineRule="auto"/>
        <w:ind w:left="0"/>
        <w:jc w:val="both"/>
        <w:rPr>
          <w:rFonts w:ascii="Times New Roman" w:hAnsi="Times New Roman" w:cs="Times New Roman"/>
          <w:noProof/>
          <w:lang w:val="en-US"/>
        </w:rPr>
      </w:pPr>
      <w:r w:rsidRPr="009C436F">
        <w:rPr>
          <w:rFonts w:ascii="Times New Roman" w:hAnsi="Times New Roman" w:cs="Times New Roman"/>
          <w:noProof/>
          <w:lang w:val="en-US"/>
        </w:rPr>
        <w:t xml:space="preserve">Projektligji e trajton kujdestarinë dhe administrimin e kripto-aseteve për llogari të palëve të treta si veprimtari me rrezik të lartë për asetet e klientëve, duke përfshirë ruajtjen ose kontrollin e </w:t>
      </w:r>
      <w:r w:rsidRPr="009C436F">
        <w:rPr>
          <w:rFonts w:ascii="Times New Roman" w:hAnsi="Times New Roman" w:cs="Times New Roman"/>
          <w:noProof/>
          <w:lang w:val="en-US"/>
        </w:rPr>
        <w:lastRenderedPageBreak/>
        <w:t>mjeteve të aksesit (çelësa privatë). Subjekti i kujdestarisë nuk administron thjesht llogari, por mban nën kontroll mjetin që mundëson zotërimin dhe transferimin e kripto-asetit.</w:t>
      </w:r>
    </w:p>
    <w:p w14:paraId="3D3F7128" w14:textId="77777777" w:rsidR="009C436F" w:rsidRDefault="009C436F" w:rsidP="009C436F">
      <w:pPr>
        <w:pStyle w:val="ListParagraph"/>
        <w:spacing w:after="0" w:line="276" w:lineRule="auto"/>
        <w:ind w:left="0"/>
        <w:jc w:val="both"/>
        <w:rPr>
          <w:rFonts w:ascii="Times New Roman" w:hAnsi="Times New Roman" w:cs="Times New Roman"/>
          <w:noProof/>
          <w:lang w:val="en-US"/>
        </w:rPr>
      </w:pPr>
    </w:p>
    <w:p w14:paraId="78D4DB95" w14:textId="6832F46C" w:rsidR="009C436F" w:rsidRPr="009C436F" w:rsidRDefault="009C436F" w:rsidP="009C436F">
      <w:pPr>
        <w:pStyle w:val="ListParagraph"/>
        <w:spacing w:after="0" w:line="276" w:lineRule="auto"/>
        <w:ind w:left="0"/>
        <w:jc w:val="both"/>
        <w:rPr>
          <w:rFonts w:ascii="Times New Roman" w:hAnsi="Times New Roman" w:cs="Times New Roman"/>
          <w:noProof/>
          <w:lang w:val="en-US"/>
        </w:rPr>
      </w:pPr>
      <w:r w:rsidRPr="009C436F">
        <w:rPr>
          <w:rFonts w:ascii="Times New Roman" w:hAnsi="Times New Roman" w:cs="Times New Roman"/>
          <w:noProof/>
          <w:lang w:val="en-US"/>
        </w:rPr>
        <w:t xml:space="preserve">Thelbi i mbrojtjes është </w:t>
      </w:r>
      <w:r>
        <w:rPr>
          <w:rFonts w:ascii="Times New Roman" w:hAnsi="Times New Roman" w:cs="Times New Roman"/>
          <w:noProof/>
          <w:lang w:val="en-US"/>
        </w:rPr>
        <w:t xml:space="preserve">veçimi  i </w:t>
      </w:r>
      <w:r w:rsidRPr="009C436F">
        <w:rPr>
          <w:rFonts w:ascii="Times New Roman" w:hAnsi="Times New Roman" w:cs="Times New Roman"/>
          <w:noProof/>
          <w:lang w:val="en-US"/>
        </w:rPr>
        <w:t>detyruesh</w:t>
      </w:r>
      <w:r>
        <w:rPr>
          <w:rFonts w:ascii="Times New Roman" w:hAnsi="Times New Roman" w:cs="Times New Roman"/>
          <w:noProof/>
          <w:lang w:val="en-US"/>
        </w:rPr>
        <w:t>ë</w:t>
      </w:r>
      <w:r w:rsidRPr="009C436F">
        <w:rPr>
          <w:rFonts w:ascii="Times New Roman" w:hAnsi="Times New Roman" w:cs="Times New Roman"/>
          <w:noProof/>
          <w:lang w:val="en-US"/>
        </w:rPr>
        <w:t xml:space="preserve">m </w:t>
      </w:r>
      <w:r>
        <w:rPr>
          <w:rFonts w:ascii="Times New Roman" w:hAnsi="Times New Roman" w:cs="Times New Roman"/>
          <w:noProof/>
          <w:lang w:val="en-US"/>
        </w:rPr>
        <w:t>i</w:t>
      </w:r>
      <w:r w:rsidRPr="009C436F">
        <w:rPr>
          <w:rFonts w:ascii="Times New Roman" w:hAnsi="Times New Roman" w:cs="Times New Roman"/>
          <w:noProof/>
          <w:lang w:val="en-US"/>
        </w:rPr>
        <w:t xml:space="preserve"> aseteve të klientëve nga pasuritë e ofruesit dhe </w:t>
      </w:r>
      <w:r>
        <w:rPr>
          <w:rFonts w:ascii="Times New Roman" w:hAnsi="Times New Roman" w:cs="Times New Roman"/>
          <w:noProof/>
          <w:lang w:val="en-US"/>
        </w:rPr>
        <w:t>veçimi</w:t>
      </w:r>
      <w:r w:rsidRPr="009C436F">
        <w:rPr>
          <w:rFonts w:ascii="Times New Roman" w:hAnsi="Times New Roman" w:cs="Times New Roman"/>
          <w:noProof/>
          <w:lang w:val="en-US"/>
        </w:rPr>
        <w:t xml:space="preserve"> në regjistrin e shpërndarë. Ofruesi i shërbimeve të kripto-aseteve që ofron kujdestari detyrohet të kthejë pa vonesë kripto-asetet ose mjetet e aksesit kur kërkohet</w:t>
      </w:r>
      <w:r>
        <w:rPr>
          <w:rFonts w:ascii="Times New Roman" w:hAnsi="Times New Roman" w:cs="Times New Roman"/>
          <w:noProof/>
          <w:lang w:val="en-US"/>
        </w:rPr>
        <w:t>,</w:t>
      </w:r>
      <w:r w:rsidRPr="009C436F">
        <w:rPr>
          <w:rFonts w:ascii="Times New Roman" w:hAnsi="Times New Roman" w:cs="Times New Roman"/>
          <w:noProof/>
          <w:lang w:val="en-US"/>
        </w:rPr>
        <w:t xml:space="preserve"> të mbajë asete të klientëve të </w:t>
      </w:r>
      <w:r>
        <w:rPr>
          <w:rFonts w:ascii="Times New Roman" w:hAnsi="Times New Roman" w:cs="Times New Roman"/>
          <w:noProof/>
          <w:lang w:val="en-US"/>
        </w:rPr>
        <w:t>veçuara</w:t>
      </w:r>
      <w:r w:rsidRPr="009C436F">
        <w:rPr>
          <w:rFonts w:ascii="Times New Roman" w:hAnsi="Times New Roman" w:cs="Times New Roman"/>
          <w:noProof/>
          <w:lang w:val="en-US"/>
        </w:rPr>
        <w:t xml:space="preserve"> nga zotërimet e veta në regjistrin e shpërndarë dhe t’i identifikojë qartësisht mjetet e aksesit si të klientëve</w:t>
      </w:r>
      <w:r>
        <w:rPr>
          <w:rFonts w:ascii="Times New Roman" w:hAnsi="Times New Roman" w:cs="Times New Roman"/>
          <w:noProof/>
          <w:lang w:val="en-US"/>
        </w:rPr>
        <w:t>,</w:t>
      </w:r>
      <w:r w:rsidRPr="009C436F">
        <w:rPr>
          <w:rFonts w:ascii="Times New Roman" w:hAnsi="Times New Roman" w:cs="Times New Roman"/>
          <w:noProof/>
          <w:lang w:val="en-US"/>
        </w:rPr>
        <w:t xml:space="preserve"> të veçojë ligjërisht dhe operacionalisht asetet e klientëve, në mënyrë që kreditorët të mos kenë pretendime mbi to, veçanërisht në rast falimentimi.</w:t>
      </w:r>
    </w:p>
    <w:p w14:paraId="76D63AFC" w14:textId="77777777" w:rsidR="009C436F" w:rsidRDefault="009C436F" w:rsidP="009C436F">
      <w:pPr>
        <w:pStyle w:val="ListParagraph"/>
        <w:spacing w:after="0" w:line="276" w:lineRule="auto"/>
        <w:ind w:left="0"/>
        <w:jc w:val="both"/>
        <w:rPr>
          <w:rFonts w:ascii="Times New Roman" w:hAnsi="Times New Roman" w:cs="Times New Roman"/>
          <w:noProof/>
          <w:lang w:val="en-US"/>
        </w:rPr>
      </w:pPr>
    </w:p>
    <w:p w14:paraId="18F8E2F6" w14:textId="45E4D543" w:rsidR="009C436F" w:rsidRPr="009C436F" w:rsidRDefault="009C436F" w:rsidP="009C436F">
      <w:pPr>
        <w:pStyle w:val="ListParagraph"/>
        <w:spacing w:after="0" w:line="276" w:lineRule="auto"/>
        <w:ind w:left="0"/>
        <w:jc w:val="both"/>
        <w:rPr>
          <w:rFonts w:ascii="Times New Roman" w:hAnsi="Times New Roman" w:cs="Times New Roman"/>
          <w:noProof/>
          <w:lang w:val="en-US"/>
        </w:rPr>
      </w:pPr>
      <w:r w:rsidRPr="009C436F">
        <w:rPr>
          <w:rFonts w:ascii="Times New Roman" w:hAnsi="Times New Roman" w:cs="Times New Roman"/>
          <w:noProof/>
          <w:lang w:val="en-US"/>
        </w:rPr>
        <w:t>Për përgjegjësinë ndaj humbjeve, ofruesi i kujdestarisë është përgjegjës ndaj klientit për humbjen e çdo kripto-aseti ose të mjeteve të aksesit si rezultat i një incidenti për faj të tij, me përgjegjësi deri në vlerën e tregut të kripto-asetit në momentin e humbjes. Incidente që provohen se nuk lidhen me shërbimin/operimin e ofruesit (p.sh., një problem në funksionimin e regjistrit të shpërndarë jashtë kontrollit të tij) nuk konsiderohen incidente për faj të tij.</w:t>
      </w:r>
    </w:p>
    <w:p w14:paraId="430D9303" w14:textId="77777777" w:rsidR="009C436F" w:rsidRDefault="009C436F" w:rsidP="009C436F">
      <w:pPr>
        <w:pStyle w:val="ListParagraph"/>
        <w:spacing w:after="0" w:line="276" w:lineRule="auto"/>
        <w:ind w:left="0"/>
        <w:jc w:val="both"/>
        <w:rPr>
          <w:rFonts w:ascii="Times New Roman" w:hAnsi="Times New Roman" w:cs="Times New Roman"/>
          <w:noProof/>
          <w:lang w:val="en-US"/>
        </w:rPr>
      </w:pPr>
    </w:p>
    <w:p w14:paraId="1950E2BE" w14:textId="164BCB13" w:rsidR="006A34F8" w:rsidRPr="006A34F8" w:rsidRDefault="009C436F" w:rsidP="006A34F8">
      <w:pPr>
        <w:pStyle w:val="ListParagraph"/>
        <w:spacing w:after="0" w:line="276" w:lineRule="auto"/>
        <w:ind w:left="0"/>
        <w:jc w:val="both"/>
        <w:rPr>
          <w:rFonts w:ascii="Times New Roman" w:hAnsi="Times New Roman" w:cs="Times New Roman"/>
          <w:noProof/>
          <w:lang w:val="en-US"/>
        </w:rPr>
      </w:pPr>
      <w:r w:rsidRPr="009C436F">
        <w:rPr>
          <w:rFonts w:ascii="Times New Roman" w:hAnsi="Times New Roman" w:cs="Times New Roman"/>
          <w:noProof/>
          <w:lang w:val="en-US"/>
        </w:rPr>
        <w:t>Në</w:t>
      </w:r>
      <w:r>
        <w:rPr>
          <w:rFonts w:ascii="Times New Roman" w:hAnsi="Times New Roman" w:cs="Times New Roman"/>
          <w:noProof/>
          <w:lang w:val="en-US"/>
        </w:rPr>
        <w:t xml:space="preserve"> rastet kur sh</w:t>
      </w:r>
      <w:r w:rsidR="00F605B9">
        <w:rPr>
          <w:rFonts w:ascii="Times New Roman" w:hAnsi="Times New Roman" w:cs="Times New Roman"/>
          <w:noProof/>
          <w:lang w:val="en-US"/>
        </w:rPr>
        <w:t>ë</w:t>
      </w:r>
      <w:r>
        <w:rPr>
          <w:rFonts w:ascii="Times New Roman" w:hAnsi="Times New Roman" w:cs="Times New Roman"/>
          <w:noProof/>
          <w:lang w:val="en-US"/>
        </w:rPr>
        <w:t>rbimi I kujdestaris</w:t>
      </w:r>
      <w:r w:rsidR="00F605B9">
        <w:rPr>
          <w:rFonts w:ascii="Times New Roman" w:hAnsi="Times New Roman" w:cs="Times New Roman"/>
          <w:noProof/>
          <w:lang w:val="en-US"/>
        </w:rPr>
        <w:t>ë</w:t>
      </w:r>
      <w:r>
        <w:rPr>
          <w:rFonts w:ascii="Times New Roman" w:hAnsi="Times New Roman" w:cs="Times New Roman"/>
          <w:noProof/>
          <w:lang w:val="en-US"/>
        </w:rPr>
        <w:t xml:space="preserve"> n</w:t>
      </w:r>
      <w:r w:rsidR="00F605B9">
        <w:rPr>
          <w:rFonts w:ascii="Times New Roman" w:hAnsi="Times New Roman" w:cs="Times New Roman"/>
          <w:noProof/>
          <w:lang w:val="en-US"/>
        </w:rPr>
        <w:t>ë</w:t>
      </w:r>
      <w:r>
        <w:rPr>
          <w:rFonts w:ascii="Times New Roman" w:hAnsi="Times New Roman" w:cs="Times New Roman"/>
          <w:noProof/>
          <w:lang w:val="en-US"/>
        </w:rPr>
        <w:t>nkontraktohet</w:t>
      </w:r>
      <w:r w:rsidRPr="009C436F">
        <w:rPr>
          <w:rFonts w:ascii="Times New Roman" w:hAnsi="Times New Roman" w:cs="Times New Roman"/>
          <w:noProof/>
          <w:lang w:val="en-US"/>
        </w:rPr>
        <w:t>, ai duhet të jetë i autorizuar dhe klientët duhet të njoftohen. Ofruesi duhet t’u ofrojë klientëve pa vonesë informacion për operacione që kërkojnë përgjigje dhe të ketë procedura që mundësojnë kthimin e aseteve ose mjeteve të aksesit pa vonesa.</w:t>
      </w:r>
      <w:r>
        <w:rPr>
          <w:rFonts w:ascii="Times New Roman" w:hAnsi="Times New Roman" w:cs="Times New Roman"/>
          <w:noProof/>
          <w:lang w:val="en-US"/>
        </w:rPr>
        <w:t xml:space="preserve"> </w:t>
      </w:r>
    </w:p>
    <w:p w14:paraId="3880CEB1" w14:textId="77777777" w:rsidR="006A34F8" w:rsidRDefault="006A34F8" w:rsidP="006A34F8">
      <w:pPr>
        <w:pStyle w:val="ListParagraph"/>
        <w:spacing w:after="0" w:line="276" w:lineRule="auto"/>
        <w:ind w:left="0"/>
        <w:jc w:val="both"/>
        <w:rPr>
          <w:rFonts w:ascii="Times New Roman" w:hAnsi="Times New Roman" w:cs="Times New Roman"/>
          <w:b/>
          <w:bCs/>
          <w:noProof/>
          <w:lang w:val="en-US"/>
        </w:rPr>
      </w:pPr>
    </w:p>
    <w:p w14:paraId="6C3F537D" w14:textId="77777777" w:rsidR="00F605B9" w:rsidRDefault="006A34F8" w:rsidP="00F605B9">
      <w:pPr>
        <w:pStyle w:val="ListParagraph"/>
        <w:spacing w:after="0" w:line="276" w:lineRule="auto"/>
        <w:jc w:val="both"/>
        <w:rPr>
          <w:rFonts w:ascii="Times New Roman" w:hAnsi="Times New Roman" w:cs="Times New Roman"/>
          <w:noProof/>
          <w:lang w:val="en-US"/>
        </w:rPr>
      </w:pPr>
      <w:r w:rsidRPr="006A34F8">
        <w:rPr>
          <w:rFonts w:ascii="Times New Roman" w:hAnsi="Times New Roman" w:cs="Times New Roman"/>
          <w:b/>
          <w:bCs/>
          <w:noProof/>
          <w:lang w:val="en-US"/>
        </w:rPr>
        <w:t>Rreziqet nga shërbimet e parregulluara.</w:t>
      </w:r>
      <w:r w:rsidRPr="006A34F8">
        <w:rPr>
          <w:rFonts w:ascii="Times New Roman" w:hAnsi="Times New Roman" w:cs="Times New Roman"/>
          <w:noProof/>
          <w:lang w:val="en-US"/>
        </w:rPr>
        <w:t xml:space="preserve"> </w:t>
      </w:r>
    </w:p>
    <w:p w14:paraId="566992FC" w14:textId="77777777" w:rsidR="00F605B9" w:rsidRDefault="00F605B9" w:rsidP="006A34F8">
      <w:pPr>
        <w:pStyle w:val="ListParagraph"/>
        <w:spacing w:after="0" w:line="276" w:lineRule="auto"/>
        <w:ind w:left="0"/>
        <w:jc w:val="both"/>
        <w:rPr>
          <w:rFonts w:ascii="Times New Roman" w:hAnsi="Times New Roman" w:cs="Times New Roman"/>
          <w:noProof/>
          <w:lang w:val="en-US"/>
        </w:rPr>
      </w:pPr>
    </w:p>
    <w:p w14:paraId="4F1741A1" w14:textId="213C0DC3" w:rsidR="006A34F8" w:rsidRPr="006A34F8" w:rsidRDefault="006A34F8" w:rsidP="006A34F8">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Ngjarje si </w:t>
      </w:r>
      <w:r w:rsidRPr="00F605B9">
        <w:rPr>
          <w:rFonts w:ascii="Times New Roman" w:hAnsi="Times New Roman" w:cs="Times New Roman"/>
          <w:noProof/>
          <w:lang w:val="en-US"/>
        </w:rPr>
        <w:t>falimentimi</w:t>
      </w:r>
      <w:r w:rsidRPr="006A34F8">
        <w:rPr>
          <w:rFonts w:ascii="Times New Roman" w:hAnsi="Times New Roman" w:cs="Times New Roman"/>
          <w:noProof/>
          <w:lang w:val="en-US"/>
        </w:rPr>
        <w:t xml:space="preserve"> </w:t>
      </w:r>
      <w:r w:rsidR="00F605B9" w:rsidRPr="00F605B9">
        <w:rPr>
          <w:rFonts w:ascii="Times New Roman" w:hAnsi="Times New Roman" w:cs="Times New Roman"/>
          <w:noProof/>
          <w:lang w:val="en-US"/>
        </w:rPr>
        <w:t>i kripto-aseteve</w:t>
      </w:r>
      <w:r w:rsidRPr="006A34F8">
        <w:rPr>
          <w:rFonts w:ascii="Times New Roman" w:hAnsi="Times New Roman" w:cs="Times New Roman"/>
          <w:noProof/>
          <w:lang w:val="en-US"/>
        </w:rPr>
        <w:t xml:space="preserve"> Terra/Luna </w:t>
      </w:r>
      <w:r w:rsidR="00F605B9" w:rsidRPr="00F605B9">
        <w:rPr>
          <w:rFonts w:ascii="Times New Roman" w:hAnsi="Times New Roman" w:cs="Times New Roman"/>
          <w:noProof/>
          <w:lang w:val="en-US"/>
        </w:rPr>
        <w:t xml:space="preserve">si rrjedhojë e </w:t>
      </w:r>
      <w:r w:rsidRPr="006A34F8">
        <w:rPr>
          <w:rFonts w:ascii="Times New Roman" w:hAnsi="Times New Roman" w:cs="Times New Roman"/>
          <w:noProof/>
          <w:lang w:val="en-US"/>
        </w:rPr>
        <w:t>dështim</w:t>
      </w:r>
      <w:r w:rsidR="00F605B9" w:rsidRPr="00F605B9">
        <w:rPr>
          <w:rFonts w:ascii="Times New Roman" w:hAnsi="Times New Roman" w:cs="Times New Roman"/>
          <w:noProof/>
          <w:lang w:val="en-US"/>
        </w:rPr>
        <w:t>it</w:t>
      </w:r>
      <w:r w:rsidRPr="006A34F8">
        <w:rPr>
          <w:rFonts w:ascii="Times New Roman" w:hAnsi="Times New Roman" w:cs="Times New Roman"/>
          <w:noProof/>
          <w:lang w:val="en-US"/>
        </w:rPr>
        <w:t xml:space="preserve"> </w:t>
      </w:r>
      <w:r w:rsidR="00F605B9" w:rsidRPr="00F605B9">
        <w:rPr>
          <w:rFonts w:ascii="Times New Roman" w:hAnsi="Times New Roman" w:cs="Times New Roman"/>
          <w:noProof/>
          <w:lang w:val="en-US"/>
        </w:rPr>
        <w:t>të</w:t>
      </w:r>
      <w:r w:rsidRPr="006A34F8">
        <w:rPr>
          <w:rFonts w:ascii="Times New Roman" w:hAnsi="Times New Roman" w:cs="Times New Roman"/>
          <w:noProof/>
          <w:lang w:val="en-US"/>
        </w:rPr>
        <w:t xml:space="preserve"> mekanizmit të stabilitetit </w:t>
      </w:r>
      <w:r w:rsidR="00F605B9" w:rsidRPr="00F605B9">
        <w:rPr>
          <w:rFonts w:ascii="Times New Roman" w:hAnsi="Times New Roman" w:cs="Times New Roman"/>
          <w:noProof/>
          <w:lang w:val="en-US"/>
        </w:rPr>
        <w:t>duke sjellë</w:t>
      </w:r>
      <w:r w:rsidRPr="006A34F8">
        <w:rPr>
          <w:rFonts w:ascii="Times New Roman" w:hAnsi="Times New Roman" w:cs="Times New Roman"/>
          <w:noProof/>
          <w:lang w:val="en-US"/>
        </w:rPr>
        <w:t xml:space="preserve"> zinxhir efektesh në treg</w:t>
      </w:r>
      <w:r w:rsidR="00F605B9" w:rsidRPr="00F605B9">
        <w:rPr>
          <w:rFonts w:ascii="Times New Roman" w:hAnsi="Times New Roman" w:cs="Times New Roman"/>
          <w:noProof/>
          <w:lang w:val="en-US"/>
        </w:rPr>
        <w:t>jet</w:t>
      </w:r>
      <w:r w:rsidRPr="006A34F8">
        <w:rPr>
          <w:rFonts w:ascii="Times New Roman" w:hAnsi="Times New Roman" w:cs="Times New Roman"/>
          <w:noProof/>
          <w:lang w:val="en-US"/>
        </w:rPr>
        <w:t xml:space="preserve"> </w:t>
      </w:r>
      <w:r w:rsidR="009C436F" w:rsidRPr="00F605B9">
        <w:rPr>
          <w:rFonts w:ascii="Times New Roman" w:hAnsi="Times New Roman" w:cs="Times New Roman"/>
          <w:noProof/>
          <w:lang w:val="en-US"/>
        </w:rPr>
        <w:t>sekondar</w:t>
      </w:r>
      <w:r w:rsidR="00F605B9" w:rsidRPr="00F605B9">
        <w:rPr>
          <w:rFonts w:ascii="Times New Roman" w:hAnsi="Times New Roman" w:cs="Times New Roman"/>
          <w:noProof/>
          <w:lang w:val="en-US"/>
        </w:rPr>
        <w:t>e</w:t>
      </w:r>
      <w:r w:rsidRPr="006A34F8">
        <w:rPr>
          <w:rFonts w:ascii="Times New Roman" w:hAnsi="Times New Roman" w:cs="Times New Roman"/>
          <w:noProof/>
          <w:lang w:val="en-US"/>
        </w:rPr>
        <w:t>, kriza e</w:t>
      </w:r>
      <w:r w:rsidR="00F605B9" w:rsidRPr="00F605B9">
        <w:rPr>
          <w:rFonts w:ascii="Times New Roman" w:hAnsi="Times New Roman" w:cs="Times New Roman"/>
          <w:noProof/>
          <w:lang w:val="en-US"/>
        </w:rPr>
        <w:t xml:space="preserve"> kujdestarit</w:t>
      </w:r>
      <w:r w:rsidRPr="006A34F8">
        <w:rPr>
          <w:rFonts w:ascii="Times New Roman" w:hAnsi="Times New Roman" w:cs="Times New Roman"/>
          <w:noProof/>
          <w:lang w:val="en-US"/>
        </w:rPr>
        <w:t xml:space="preserve"> Celsius </w:t>
      </w:r>
      <w:r w:rsidR="00F605B9" w:rsidRPr="00F605B9">
        <w:rPr>
          <w:rFonts w:ascii="Times New Roman" w:hAnsi="Times New Roman" w:cs="Times New Roman"/>
          <w:noProof/>
          <w:lang w:val="en-US"/>
        </w:rPr>
        <w:t xml:space="preserve">si rrjedhojë </w:t>
      </w:r>
      <w:r w:rsidRPr="006A34F8">
        <w:rPr>
          <w:rFonts w:ascii="Times New Roman" w:hAnsi="Times New Roman" w:cs="Times New Roman"/>
          <w:noProof/>
          <w:lang w:val="en-US"/>
        </w:rPr>
        <w:t xml:space="preserve">mungesë e mbrojtjes së klientit dhe e </w:t>
      </w:r>
      <w:r w:rsidR="00F605B9" w:rsidRPr="00F605B9">
        <w:rPr>
          <w:rFonts w:ascii="Times New Roman" w:hAnsi="Times New Roman" w:cs="Times New Roman"/>
          <w:noProof/>
          <w:lang w:val="en-US"/>
        </w:rPr>
        <w:t>veçimit të aseteve të klientëve</w:t>
      </w:r>
      <w:r w:rsidRPr="006A34F8">
        <w:rPr>
          <w:rFonts w:ascii="Times New Roman" w:hAnsi="Times New Roman" w:cs="Times New Roman"/>
          <w:noProof/>
          <w:lang w:val="en-US"/>
        </w:rPr>
        <w:t xml:space="preserve"> apo dështimi i FTX </w:t>
      </w:r>
      <w:r w:rsidR="00F605B9" w:rsidRPr="00F605B9">
        <w:rPr>
          <w:rFonts w:ascii="Times New Roman" w:hAnsi="Times New Roman" w:cs="Times New Roman"/>
          <w:noProof/>
          <w:lang w:val="en-US"/>
        </w:rPr>
        <w:t xml:space="preserve">si rrjedhojë e </w:t>
      </w:r>
      <w:r w:rsidRPr="006A34F8">
        <w:rPr>
          <w:rFonts w:ascii="Times New Roman" w:hAnsi="Times New Roman" w:cs="Times New Roman"/>
          <w:noProof/>
          <w:lang w:val="en-US"/>
        </w:rPr>
        <w:t>abuzim</w:t>
      </w:r>
      <w:r w:rsidR="00F605B9" w:rsidRPr="00F605B9">
        <w:rPr>
          <w:rFonts w:ascii="Times New Roman" w:hAnsi="Times New Roman" w:cs="Times New Roman"/>
          <w:noProof/>
          <w:lang w:val="en-US"/>
        </w:rPr>
        <w:t>it</w:t>
      </w:r>
      <w:r w:rsidRPr="006A34F8">
        <w:rPr>
          <w:rFonts w:ascii="Times New Roman" w:hAnsi="Times New Roman" w:cs="Times New Roman"/>
          <w:noProof/>
          <w:lang w:val="en-US"/>
        </w:rPr>
        <w:t xml:space="preserve"> me fondet e klientëve dhe mungesë mbikëqyrjeje efektive dëshmojnë se ofrimi i paautorizuar i shërbimeve të kripto-aseteve përkeqëson rreziqet e mësipërme. Projektiligji i adreson këto boshllëqe përmes autorizimit dhe mbikëqyrjes në vazhdimësi të</w:t>
      </w:r>
      <w:r w:rsidR="00F605B9" w:rsidRPr="00F605B9">
        <w:rPr>
          <w:rFonts w:ascii="Times New Roman" w:hAnsi="Times New Roman" w:cs="Times New Roman"/>
          <w:noProof/>
          <w:lang w:val="en-US"/>
        </w:rPr>
        <w:t xml:space="preserve"> emetuesve dhe ofruesve të shërbimeve të kripto-aseteve</w:t>
      </w:r>
      <w:r w:rsidRPr="006A34F8">
        <w:rPr>
          <w:rFonts w:ascii="Times New Roman" w:hAnsi="Times New Roman" w:cs="Times New Roman"/>
          <w:noProof/>
          <w:lang w:val="en-US"/>
        </w:rPr>
        <w:t>, standardeve të dokumentit informues dhe rregullave të marketingut, si dhe përmes kompetencave të qarta të autorite</w:t>
      </w:r>
      <w:r w:rsidRPr="006A34F8">
        <w:rPr>
          <w:rFonts w:ascii="Times New Roman" w:hAnsi="Times New Roman" w:cs="Times New Roman"/>
          <w:noProof/>
          <w:lang w:val="en-US"/>
        </w:rPr>
        <w:softHyphen/>
        <w:t>teve përgjegjëse për të ndaluar/pezulluar oferta, pranime dhe shërbime jo në përputhje me ligjin</w:t>
      </w:r>
      <w:r w:rsidR="00F605B9" w:rsidRPr="00F605B9">
        <w:rPr>
          <w:rFonts w:ascii="Times New Roman" w:hAnsi="Times New Roman" w:cs="Times New Roman"/>
          <w:noProof/>
          <w:lang w:val="en-US"/>
        </w:rPr>
        <w:t xml:space="preserve">, </w:t>
      </w:r>
      <w:r w:rsidRPr="006A34F8">
        <w:rPr>
          <w:rFonts w:ascii="Times New Roman" w:hAnsi="Times New Roman" w:cs="Times New Roman"/>
          <w:noProof/>
          <w:lang w:val="en-US"/>
        </w:rPr>
        <w:t xml:space="preserve">duke zvogëluar gjasat për përsëritje të këtyre fenomeneve. </w:t>
      </w:r>
    </w:p>
    <w:p w14:paraId="3B38FCC7" w14:textId="3180A1CE" w:rsidR="006A34F8" w:rsidRPr="006A34F8" w:rsidRDefault="006A34F8" w:rsidP="006A34F8">
      <w:pPr>
        <w:pStyle w:val="ListParagraph"/>
        <w:spacing w:after="0" w:line="276" w:lineRule="auto"/>
        <w:ind w:left="0"/>
        <w:jc w:val="both"/>
        <w:rPr>
          <w:rFonts w:ascii="Times New Roman" w:hAnsi="Times New Roman" w:cs="Times New Roman"/>
          <w:noProof/>
          <w:lang w:val="en-US"/>
        </w:rPr>
      </w:pPr>
    </w:p>
    <w:p w14:paraId="017CE989" w14:textId="4232836E" w:rsidR="006B1FDD" w:rsidRPr="00F605B9" w:rsidRDefault="006A34F8" w:rsidP="00F605B9">
      <w:pPr>
        <w:pStyle w:val="ListParagraph"/>
        <w:spacing w:after="0" w:line="276" w:lineRule="auto"/>
        <w:ind w:left="0"/>
        <w:jc w:val="both"/>
        <w:rPr>
          <w:rFonts w:ascii="Times New Roman" w:hAnsi="Times New Roman" w:cs="Times New Roman"/>
          <w:noProof/>
          <w:lang w:val="en-US"/>
        </w:rPr>
      </w:pPr>
      <w:r w:rsidRPr="006A34F8">
        <w:rPr>
          <w:rFonts w:ascii="Times New Roman" w:hAnsi="Times New Roman" w:cs="Times New Roman"/>
          <w:noProof/>
          <w:lang w:val="en-US"/>
        </w:rPr>
        <w:t xml:space="preserve">Në tërësi, projektligji krijon një </w:t>
      </w:r>
      <w:r w:rsidR="00F605B9">
        <w:rPr>
          <w:rFonts w:ascii="Times New Roman" w:hAnsi="Times New Roman" w:cs="Times New Roman"/>
          <w:noProof/>
          <w:lang w:val="en-US"/>
        </w:rPr>
        <w:t>kuadër ligjor</w:t>
      </w:r>
      <w:r w:rsidRPr="006A34F8">
        <w:rPr>
          <w:rFonts w:ascii="Times New Roman" w:hAnsi="Times New Roman" w:cs="Times New Roman"/>
          <w:noProof/>
          <w:lang w:val="en-US"/>
        </w:rPr>
        <w:t xml:space="preserve"> të parashikueshëm dhe të krahasueshëm me kuadrin e BE-së, ku inovacioni mund të zhvillohet pa cenuar mbrojtjen e klientit, integritetin e tregut dhe stabilitetin financiar, </w:t>
      </w:r>
      <w:r w:rsidR="00F605B9">
        <w:rPr>
          <w:rFonts w:ascii="Times New Roman" w:hAnsi="Times New Roman" w:cs="Times New Roman"/>
          <w:noProof/>
          <w:lang w:val="en-US"/>
        </w:rPr>
        <w:t>teksa</w:t>
      </w:r>
      <w:r w:rsidRPr="006A34F8">
        <w:rPr>
          <w:rFonts w:ascii="Times New Roman" w:hAnsi="Times New Roman" w:cs="Times New Roman"/>
          <w:noProof/>
          <w:lang w:val="en-US"/>
        </w:rPr>
        <w:t xml:space="preserve"> i </w:t>
      </w:r>
      <w:r w:rsidR="00F605B9">
        <w:rPr>
          <w:rFonts w:ascii="Times New Roman" w:hAnsi="Times New Roman" w:cs="Times New Roman"/>
          <w:noProof/>
          <w:lang w:val="en-US"/>
        </w:rPr>
        <w:t>garanton</w:t>
      </w:r>
      <w:r w:rsidRPr="006A34F8">
        <w:rPr>
          <w:rFonts w:ascii="Times New Roman" w:hAnsi="Times New Roman" w:cs="Times New Roman"/>
          <w:noProof/>
          <w:lang w:val="en-US"/>
        </w:rPr>
        <w:t xml:space="preserve"> AMF-së dhe Bankës së Shqipërisë instrumentet e duhura për autorizim, mbikëqyrje dhe zbat</w:t>
      </w:r>
      <w:r w:rsidR="00F605B9">
        <w:rPr>
          <w:rFonts w:ascii="Times New Roman" w:hAnsi="Times New Roman" w:cs="Times New Roman"/>
          <w:noProof/>
          <w:lang w:val="en-US"/>
        </w:rPr>
        <w:t>uesh</w:t>
      </w:r>
      <w:r w:rsidRPr="006A34F8">
        <w:rPr>
          <w:rFonts w:ascii="Times New Roman" w:hAnsi="Times New Roman" w:cs="Times New Roman"/>
          <w:noProof/>
          <w:lang w:val="en-US"/>
        </w:rPr>
        <w:t>m</w:t>
      </w:r>
      <w:r w:rsidR="00F605B9">
        <w:rPr>
          <w:rFonts w:ascii="Times New Roman" w:hAnsi="Times New Roman" w:cs="Times New Roman"/>
          <w:noProof/>
          <w:lang w:val="en-US"/>
        </w:rPr>
        <w:t>ëri</w:t>
      </w:r>
      <w:r w:rsidRPr="006A34F8">
        <w:rPr>
          <w:rFonts w:ascii="Times New Roman" w:hAnsi="Times New Roman" w:cs="Times New Roman"/>
          <w:noProof/>
          <w:lang w:val="en-US"/>
        </w:rPr>
        <w:t>.</w:t>
      </w:r>
      <w:r w:rsidR="00F605B9">
        <w:rPr>
          <w:rFonts w:ascii="Times New Roman" w:hAnsi="Times New Roman" w:cs="Times New Roman"/>
          <w:noProof/>
          <w:lang w:val="en-US"/>
        </w:rPr>
        <w:t xml:space="preserve"> </w:t>
      </w:r>
      <w:r w:rsidR="006B1FDD" w:rsidRPr="00051667">
        <w:rPr>
          <w:rFonts w:ascii="Times New Roman" w:hAnsi="Times New Roman" w:cs="Times New Roman"/>
          <w:noProof/>
        </w:rPr>
        <w:t>Transpozimi i standardeve të MiCA-s dhe harmonizimi me rregullat për pagesat e paranë elektronike sigurojnë koherencë, parashikueshmëri për subjektet dhe një bazë t</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 qendrueshme  për përmbushjen e kërkesave të </w:t>
      </w:r>
      <w:r w:rsidR="009B3C11" w:rsidRPr="00051667">
        <w:rPr>
          <w:rFonts w:ascii="Times New Roman" w:hAnsi="Times New Roman" w:cs="Times New Roman"/>
          <w:noProof/>
        </w:rPr>
        <w:t xml:space="preserve">Grupkapitullit </w:t>
      </w:r>
      <w:r w:rsidR="006B1FDD" w:rsidRPr="00051667">
        <w:rPr>
          <w:rFonts w:ascii="Times New Roman" w:hAnsi="Times New Roman" w:cs="Times New Roman"/>
          <w:noProof/>
        </w:rPr>
        <w:t>2</w:t>
      </w:r>
      <w:r w:rsidR="0095434B" w:rsidRPr="00051667">
        <w:rPr>
          <w:rFonts w:ascii="Times New Roman" w:hAnsi="Times New Roman" w:cs="Times New Roman"/>
          <w:noProof/>
        </w:rPr>
        <w:t xml:space="preserve"> </w:t>
      </w:r>
      <w:r w:rsidR="006B1FDD" w:rsidRPr="00051667">
        <w:rPr>
          <w:rFonts w:ascii="Times New Roman" w:hAnsi="Times New Roman" w:cs="Times New Roman"/>
          <w:noProof/>
        </w:rPr>
        <w:t xml:space="preserve">“Tregu i </w:t>
      </w:r>
      <w:r w:rsidR="006B1FDD" w:rsidRPr="00051667">
        <w:rPr>
          <w:rFonts w:ascii="Times New Roman" w:hAnsi="Times New Roman" w:cs="Times New Roman"/>
          <w:noProof/>
        </w:rPr>
        <w:lastRenderedPageBreak/>
        <w:t>Brendshëm”. Në planin e mbrojtjes së publikut dhe integritetit të tregut, projektligji forcon kërkesat prudenciale, rregullat e qeverisjes kor</w:t>
      </w:r>
      <w:r w:rsidR="00767BB5" w:rsidRPr="00051667">
        <w:rPr>
          <w:rFonts w:ascii="Times New Roman" w:hAnsi="Times New Roman" w:cs="Times New Roman"/>
          <w:noProof/>
        </w:rPr>
        <w:t>pora</w:t>
      </w:r>
      <w:r w:rsidR="006B1FDD" w:rsidRPr="00051667">
        <w:rPr>
          <w:rFonts w:ascii="Times New Roman" w:hAnsi="Times New Roman" w:cs="Times New Roman"/>
          <w:noProof/>
        </w:rPr>
        <w:t>tive, menaxhimin e konfliktit të interesit dhe sigurinë operacionale, duke kushtëzuar ofrimin e shërbimeve me detyrime t</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 transparencës si dokumentit informues, rregulla të rrepta të marketingut, menaxhim të rezervave dhe mekanizma rimëkëmbjeje dhe shlyerjeje.</w:t>
      </w:r>
    </w:p>
    <w:p w14:paraId="2093A085" w14:textId="3C0D5774" w:rsidR="006B1FDD" w:rsidRDefault="006B1FDD" w:rsidP="00051667">
      <w:pPr>
        <w:spacing w:after="0" w:line="276" w:lineRule="auto"/>
        <w:jc w:val="both"/>
        <w:rPr>
          <w:rFonts w:ascii="Times New Roman" w:hAnsi="Times New Roman" w:cs="Times New Roman"/>
          <w:b/>
          <w:bCs/>
          <w:noProof/>
        </w:rPr>
      </w:pPr>
    </w:p>
    <w:p w14:paraId="1E837F5B" w14:textId="77777777" w:rsidR="00C10871" w:rsidRPr="00051667" w:rsidRDefault="00C10871" w:rsidP="00051667">
      <w:pPr>
        <w:spacing w:after="0" w:line="276" w:lineRule="auto"/>
        <w:jc w:val="both"/>
        <w:rPr>
          <w:rFonts w:ascii="Times New Roman" w:hAnsi="Times New Roman" w:cs="Times New Roman"/>
          <w:b/>
          <w:bCs/>
          <w:noProof/>
        </w:rPr>
      </w:pPr>
    </w:p>
    <w:p w14:paraId="3526962C" w14:textId="4F333F85" w:rsidR="00AC5C5B" w:rsidRPr="00051667" w:rsidRDefault="00AC5C5B" w:rsidP="00051667">
      <w:pPr>
        <w:spacing w:after="0" w:line="276" w:lineRule="auto"/>
        <w:ind w:left="990" w:hanging="630"/>
        <w:jc w:val="both"/>
        <w:rPr>
          <w:rFonts w:ascii="Times New Roman" w:hAnsi="Times New Roman" w:cs="Times New Roman"/>
          <w:b/>
          <w:bCs/>
          <w:noProof/>
        </w:rPr>
      </w:pPr>
      <w:r w:rsidRPr="00051667">
        <w:rPr>
          <w:rFonts w:ascii="Times New Roman" w:hAnsi="Times New Roman" w:cs="Times New Roman"/>
          <w:b/>
          <w:bCs/>
          <w:noProof/>
        </w:rPr>
        <w:t>IV.</w:t>
      </w:r>
      <w:r w:rsidRPr="00051667">
        <w:rPr>
          <w:rFonts w:ascii="Times New Roman" w:hAnsi="Times New Roman" w:cs="Times New Roman"/>
          <w:b/>
          <w:bCs/>
          <w:noProof/>
        </w:rPr>
        <w:tab/>
        <w:t>VLERËSIMI I LIGJSHMËRISË, KUSHTETUESHMËRISË DHE HARMONIZIMI ME LEGJISLACIONIN NË FUQI VENDAS E NDËRKOMBËTAR</w:t>
      </w:r>
    </w:p>
    <w:p w14:paraId="245BEBA1" w14:textId="77777777" w:rsidR="00AC5C5B" w:rsidRPr="00051667" w:rsidRDefault="00AC5C5B" w:rsidP="00051667">
      <w:pPr>
        <w:spacing w:after="0" w:line="276" w:lineRule="auto"/>
        <w:jc w:val="both"/>
        <w:rPr>
          <w:rFonts w:ascii="Times New Roman" w:hAnsi="Times New Roman" w:cs="Times New Roman"/>
          <w:noProof/>
        </w:rPr>
      </w:pPr>
    </w:p>
    <w:p w14:paraId="756B4A90" w14:textId="00226D92" w:rsidR="00AC5C5B" w:rsidRPr="00051667" w:rsidRDefault="00AC5C5B" w:rsidP="00051667">
      <w:pPr>
        <w:spacing w:after="0" w:line="276" w:lineRule="auto"/>
        <w:jc w:val="both"/>
        <w:rPr>
          <w:rFonts w:ascii="Times New Roman" w:hAnsi="Times New Roman" w:cs="Times New Roman"/>
          <w:noProof/>
          <w:color w:val="EE0000"/>
        </w:rPr>
      </w:pPr>
      <w:r w:rsidRPr="00051667">
        <w:rPr>
          <w:rFonts w:ascii="Times New Roman" w:hAnsi="Times New Roman" w:cs="Times New Roman"/>
          <w:noProof/>
        </w:rPr>
        <w:t>Projektligji “P</w:t>
      </w:r>
      <w:r w:rsidR="00457939" w:rsidRPr="00051667">
        <w:rPr>
          <w:rFonts w:ascii="Times New Roman" w:hAnsi="Times New Roman" w:cs="Times New Roman"/>
          <w:noProof/>
        </w:rPr>
        <w:t>ë</w:t>
      </w:r>
      <w:r w:rsidRPr="00051667">
        <w:rPr>
          <w:rFonts w:ascii="Times New Roman" w:hAnsi="Times New Roman" w:cs="Times New Roman"/>
          <w:noProof/>
        </w:rPr>
        <w:t>r tregjet e Kripto Aseteve” është hartuar në mbështetje të neneve 78 dhe 83, pika 1, të Kushtetutës dhe është harmonizuar me legjislacionin n</w:t>
      </w:r>
      <w:r w:rsidR="00457939" w:rsidRPr="00051667">
        <w:rPr>
          <w:rFonts w:ascii="Times New Roman" w:hAnsi="Times New Roman" w:cs="Times New Roman"/>
          <w:noProof/>
        </w:rPr>
        <w:t>ë</w:t>
      </w:r>
      <w:r w:rsidRPr="00051667">
        <w:rPr>
          <w:rFonts w:ascii="Times New Roman" w:hAnsi="Times New Roman" w:cs="Times New Roman"/>
          <w:noProof/>
        </w:rPr>
        <w:t xml:space="preserve"> fuqi q</w:t>
      </w:r>
      <w:r w:rsidR="00457939" w:rsidRPr="00051667">
        <w:rPr>
          <w:rFonts w:ascii="Times New Roman" w:hAnsi="Times New Roman" w:cs="Times New Roman"/>
          <w:noProof/>
        </w:rPr>
        <w:t>ë</w:t>
      </w:r>
      <w:r w:rsidRPr="00051667">
        <w:rPr>
          <w:rFonts w:ascii="Times New Roman" w:hAnsi="Times New Roman" w:cs="Times New Roman"/>
          <w:noProof/>
        </w:rPr>
        <w:t xml:space="preserve"> rregullon tregjet e kapitalit,</w:t>
      </w:r>
      <w:r w:rsidR="006B1FDD" w:rsidRPr="00051667">
        <w:rPr>
          <w:rFonts w:ascii="Times New Roman" w:hAnsi="Times New Roman" w:cs="Times New Roman"/>
          <w:noProof/>
        </w:rPr>
        <w:t xml:space="preserve"> legjislacionin q</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 rregullon sip</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rmarrjet e investimeve kolektive, </w:t>
      </w:r>
      <w:r w:rsidRPr="00051667">
        <w:rPr>
          <w:rFonts w:ascii="Times New Roman" w:hAnsi="Times New Roman" w:cs="Times New Roman"/>
          <w:noProof/>
        </w:rPr>
        <w:t>legjislacionin q</w:t>
      </w:r>
      <w:r w:rsidR="00457939" w:rsidRPr="00051667">
        <w:rPr>
          <w:rFonts w:ascii="Times New Roman" w:hAnsi="Times New Roman" w:cs="Times New Roman"/>
          <w:noProof/>
        </w:rPr>
        <w:t>ë</w:t>
      </w:r>
      <w:r w:rsidRPr="00051667">
        <w:rPr>
          <w:rFonts w:ascii="Times New Roman" w:hAnsi="Times New Roman" w:cs="Times New Roman"/>
          <w:noProof/>
        </w:rPr>
        <w:t xml:space="preserve"> rregullon tregtar</w:t>
      </w:r>
      <w:r w:rsidR="00457939" w:rsidRPr="00051667">
        <w:rPr>
          <w:rFonts w:ascii="Times New Roman" w:hAnsi="Times New Roman" w:cs="Times New Roman"/>
          <w:noProof/>
        </w:rPr>
        <w:t>ë</w:t>
      </w:r>
      <w:r w:rsidRPr="00051667">
        <w:rPr>
          <w:rFonts w:ascii="Times New Roman" w:hAnsi="Times New Roman" w:cs="Times New Roman"/>
          <w:noProof/>
        </w:rPr>
        <w:t>t dhe shoq</w:t>
      </w:r>
      <w:r w:rsidR="00457939" w:rsidRPr="00051667">
        <w:rPr>
          <w:rFonts w:ascii="Times New Roman" w:hAnsi="Times New Roman" w:cs="Times New Roman"/>
          <w:noProof/>
        </w:rPr>
        <w:t>ë</w:t>
      </w:r>
      <w:r w:rsidRPr="00051667">
        <w:rPr>
          <w:rFonts w:ascii="Times New Roman" w:hAnsi="Times New Roman" w:cs="Times New Roman"/>
          <w:noProof/>
        </w:rPr>
        <w:t>rit</w:t>
      </w:r>
      <w:r w:rsidR="00457939" w:rsidRPr="00051667">
        <w:rPr>
          <w:rFonts w:ascii="Times New Roman" w:hAnsi="Times New Roman" w:cs="Times New Roman"/>
          <w:noProof/>
        </w:rPr>
        <w:t>ë</w:t>
      </w:r>
      <w:r w:rsidRPr="00051667">
        <w:rPr>
          <w:rFonts w:ascii="Times New Roman" w:hAnsi="Times New Roman" w:cs="Times New Roman"/>
          <w:noProof/>
        </w:rPr>
        <w:t xml:space="preserve"> tregtare</w:t>
      </w:r>
      <w:r w:rsidR="006B1FDD" w:rsidRPr="00051667">
        <w:rPr>
          <w:rFonts w:ascii="Times New Roman" w:hAnsi="Times New Roman" w:cs="Times New Roman"/>
          <w:noProof/>
        </w:rPr>
        <w:t>, legjislacionin p</w:t>
      </w:r>
      <w:r w:rsidR="00665016" w:rsidRPr="00051667">
        <w:rPr>
          <w:rFonts w:ascii="Times New Roman" w:hAnsi="Times New Roman" w:cs="Times New Roman"/>
          <w:noProof/>
        </w:rPr>
        <w:t>ë</w:t>
      </w:r>
      <w:r w:rsidR="006B1FDD" w:rsidRPr="00051667">
        <w:rPr>
          <w:rFonts w:ascii="Times New Roman" w:hAnsi="Times New Roman" w:cs="Times New Roman"/>
          <w:noProof/>
        </w:rPr>
        <w:t>r bankat, legjilsacionin p</w:t>
      </w:r>
      <w:r w:rsidR="00665016" w:rsidRPr="00051667">
        <w:rPr>
          <w:rFonts w:ascii="Times New Roman" w:hAnsi="Times New Roman" w:cs="Times New Roman"/>
          <w:noProof/>
        </w:rPr>
        <w:t>ë</w:t>
      </w:r>
      <w:r w:rsidR="006B1FDD" w:rsidRPr="00051667">
        <w:rPr>
          <w:rFonts w:ascii="Times New Roman" w:hAnsi="Times New Roman" w:cs="Times New Roman"/>
          <w:noProof/>
        </w:rPr>
        <w:t>r sh</w:t>
      </w:r>
      <w:r w:rsidR="00665016" w:rsidRPr="00051667">
        <w:rPr>
          <w:rFonts w:ascii="Times New Roman" w:hAnsi="Times New Roman" w:cs="Times New Roman"/>
          <w:noProof/>
        </w:rPr>
        <w:t>ë</w:t>
      </w:r>
      <w:r w:rsidR="006B1FDD" w:rsidRPr="00051667">
        <w:rPr>
          <w:rFonts w:ascii="Times New Roman" w:hAnsi="Times New Roman" w:cs="Times New Roman"/>
          <w:noProof/>
        </w:rPr>
        <w:t>rbimet e pagesave, legjilsacionin p</w:t>
      </w:r>
      <w:r w:rsidR="00665016" w:rsidRPr="00051667">
        <w:rPr>
          <w:rFonts w:ascii="Times New Roman" w:hAnsi="Times New Roman" w:cs="Times New Roman"/>
          <w:noProof/>
        </w:rPr>
        <w:t>ë</w:t>
      </w:r>
      <w:r w:rsidR="006B1FDD" w:rsidRPr="00051667">
        <w:rPr>
          <w:rFonts w:ascii="Times New Roman" w:hAnsi="Times New Roman" w:cs="Times New Roman"/>
          <w:noProof/>
        </w:rPr>
        <w:t xml:space="preserve">r institucionet e pagesave. </w:t>
      </w:r>
    </w:p>
    <w:p w14:paraId="3EB4E811" w14:textId="77777777" w:rsidR="00AC5C5B" w:rsidRPr="00051667" w:rsidRDefault="00AC5C5B" w:rsidP="00051667">
      <w:pPr>
        <w:spacing w:after="0" w:line="276" w:lineRule="auto"/>
        <w:jc w:val="both"/>
        <w:rPr>
          <w:rFonts w:ascii="Times New Roman" w:hAnsi="Times New Roman" w:cs="Times New Roman"/>
          <w:noProof/>
        </w:rPr>
      </w:pPr>
    </w:p>
    <w:p w14:paraId="56C1E2FB" w14:textId="438E4F52" w:rsidR="00AC5C5B" w:rsidRPr="00051667" w:rsidRDefault="00AC5C5B" w:rsidP="00051667">
      <w:pPr>
        <w:pStyle w:val="ListParagraph"/>
        <w:numPr>
          <w:ilvl w:val="0"/>
          <w:numId w:val="2"/>
        </w:numPr>
        <w:spacing w:after="0" w:line="276" w:lineRule="auto"/>
        <w:ind w:left="1080"/>
        <w:jc w:val="both"/>
        <w:rPr>
          <w:rFonts w:ascii="Times New Roman" w:hAnsi="Times New Roman" w:cs="Times New Roman"/>
          <w:b/>
          <w:bCs/>
          <w:noProof/>
        </w:rPr>
      </w:pPr>
      <w:r w:rsidRPr="00051667">
        <w:rPr>
          <w:rFonts w:ascii="Times New Roman" w:hAnsi="Times New Roman" w:cs="Times New Roman"/>
          <w:b/>
          <w:bCs/>
          <w:noProof/>
        </w:rPr>
        <w:t xml:space="preserve">VLERËSIMI I SHKALLËS SË PËRAFRIMIT ME ACQUIS COMMUNAUTARE </w:t>
      </w:r>
    </w:p>
    <w:p w14:paraId="672D95AB" w14:textId="77777777" w:rsidR="00AC5C5B" w:rsidRPr="00051667" w:rsidRDefault="00AC5C5B" w:rsidP="00051667">
      <w:pPr>
        <w:spacing w:after="0" w:line="276" w:lineRule="auto"/>
        <w:jc w:val="both"/>
        <w:rPr>
          <w:rFonts w:ascii="Times New Roman" w:hAnsi="Times New Roman" w:cs="Times New Roman"/>
          <w:noProof/>
        </w:rPr>
      </w:pPr>
    </w:p>
    <w:p w14:paraId="03347DCF" w14:textId="39FDD623" w:rsidR="00AC5C5B" w:rsidRPr="00051667" w:rsidRDefault="006B1FDD" w:rsidP="00051667">
      <w:pPr>
        <w:spacing w:after="0" w:line="276" w:lineRule="auto"/>
        <w:jc w:val="both"/>
        <w:rPr>
          <w:rFonts w:ascii="Times New Roman" w:hAnsi="Times New Roman" w:cs="Times New Roman"/>
          <w:b/>
          <w:noProof/>
        </w:rPr>
      </w:pPr>
      <w:r w:rsidRPr="00051667">
        <w:rPr>
          <w:rFonts w:ascii="Times New Roman" w:hAnsi="Times New Roman" w:cs="Times New Roman"/>
          <w:noProof/>
        </w:rPr>
        <w:t>Projektligji synon përputhshmëri të plotë me Rregulloren e Bashkimit Evropian 2023/1114 për Tregjet e Kripto Aseteve, duke pasqyruar fushën e zbatimit, përkufizimet, regjimin e dokumentit informues, rregullat për ofertat publike, rregullimin e ofruesve të shërbimeve të kripto-aseteve, dispozitat për abuzimin në treg, kornizën për tokenat e asetit dhe tokenat e parasë elektronike dhe trajtimin e atyre të klasifikuar si të rëndësishme. Projektligji inkorporon kompetencat mbikëqyrëse, masat parandaluese dhe sanksionet administrative të parashikuara nga MiCA dhe parashikon dispozita të paaplikueshme derisa të realizohet anëtarësimi, për të ruajtur harmoninë materiale dhe procedurale me acquis-in pa krijuar boshllëqe zbatimi në juridiksionin vendas.</w:t>
      </w:r>
    </w:p>
    <w:p w14:paraId="46490BF5" w14:textId="77777777" w:rsidR="00AC5C5B" w:rsidRDefault="00AC5C5B" w:rsidP="00051667">
      <w:pPr>
        <w:spacing w:after="0" w:line="276" w:lineRule="auto"/>
        <w:jc w:val="both"/>
        <w:rPr>
          <w:rFonts w:ascii="Times New Roman" w:hAnsi="Times New Roman" w:cs="Times New Roman"/>
          <w:noProof/>
        </w:rPr>
      </w:pPr>
    </w:p>
    <w:p w14:paraId="28BA3FF5" w14:textId="77777777" w:rsidR="00C10871" w:rsidRPr="00051667" w:rsidRDefault="00C10871" w:rsidP="00051667">
      <w:pPr>
        <w:spacing w:after="0" w:line="276" w:lineRule="auto"/>
        <w:jc w:val="both"/>
        <w:rPr>
          <w:rFonts w:ascii="Times New Roman" w:hAnsi="Times New Roman" w:cs="Times New Roman"/>
          <w:noProof/>
        </w:rPr>
      </w:pPr>
    </w:p>
    <w:p w14:paraId="67116C9D" w14:textId="5E65F062" w:rsidR="006B1FDD" w:rsidRDefault="006B1FDD" w:rsidP="00051667">
      <w:pPr>
        <w:pStyle w:val="ListParagraph"/>
        <w:numPr>
          <w:ilvl w:val="0"/>
          <w:numId w:val="2"/>
        </w:numPr>
        <w:spacing w:after="0" w:line="276" w:lineRule="auto"/>
        <w:jc w:val="both"/>
        <w:rPr>
          <w:rFonts w:ascii="Times New Roman" w:hAnsi="Times New Roman" w:cs="Times New Roman"/>
          <w:b/>
          <w:bCs/>
          <w:noProof/>
        </w:rPr>
      </w:pPr>
      <w:r w:rsidRPr="00051667">
        <w:rPr>
          <w:rFonts w:ascii="Times New Roman" w:hAnsi="Times New Roman" w:cs="Times New Roman"/>
          <w:b/>
          <w:bCs/>
          <w:noProof/>
        </w:rPr>
        <w:t>PËRMBLEDHJE SHPJEGUESE E PËRMBAJTJES SË PROJEKTLIGJIT</w:t>
      </w:r>
    </w:p>
    <w:p w14:paraId="530DB9FC" w14:textId="77777777" w:rsidR="00C10871" w:rsidRPr="00051667" w:rsidRDefault="00C10871" w:rsidP="00C10871">
      <w:pPr>
        <w:pStyle w:val="ListParagraph"/>
        <w:spacing w:after="0" w:line="276" w:lineRule="auto"/>
        <w:ind w:left="1170"/>
        <w:jc w:val="both"/>
        <w:rPr>
          <w:rFonts w:ascii="Times New Roman" w:hAnsi="Times New Roman" w:cs="Times New Roman"/>
          <w:b/>
          <w:bCs/>
          <w:noProof/>
        </w:rPr>
      </w:pPr>
    </w:p>
    <w:p w14:paraId="7E5069A8" w14:textId="3D030B9E" w:rsidR="00B036FD" w:rsidRDefault="00B036F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Projektligji </w:t>
      </w:r>
      <w:r w:rsidR="008E26DA" w:rsidRPr="00051667">
        <w:rPr>
          <w:rFonts w:ascii="Times New Roman" w:hAnsi="Times New Roman" w:cs="Times New Roman"/>
          <w:noProof/>
        </w:rPr>
        <w:t>ë</w:t>
      </w:r>
      <w:r w:rsidRPr="00051667">
        <w:rPr>
          <w:rFonts w:ascii="Times New Roman" w:hAnsi="Times New Roman" w:cs="Times New Roman"/>
          <w:noProof/>
        </w:rPr>
        <w:t>sht</w:t>
      </w:r>
      <w:r w:rsidR="008E26DA" w:rsidRPr="00051667">
        <w:rPr>
          <w:rFonts w:ascii="Times New Roman" w:hAnsi="Times New Roman" w:cs="Times New Roman"/>
          <w:noProof/>
        </w:rPr>
        <w:t>ë</w:t>
      </w:r>
      <w:r w:rsidRPr="00051667">
        <w:rPr>
          <w:rFonts w:ascii="Times New Roman" w:hAnsi="Times New Roman" w:cs="Times New Roman"/>
          <w:noProof/>
        </w:rPr>
        <w:t xml:space="preserve"> stru</w:t>
      </w:r>
      <w:r w:rsidR="00BA776E" w:rsidRPr="00051667">
        <w:rPr>
          <w:rFonts w:ascii="Times New Roman" w:hAnsi="Times New Roman" w:cs="Times New Roman"/>
          <w:noProof/>
        </w:rPr>
        <w:t>k</w:t>
      </w:r>
      <w:r w:rsidRPr="00051667">
        <w:rPr>
          <w:rFonts w:ascii="Times New Roman" w:hAnsi="Times New Roman" w:cs="Times New Roman"/>
          <w:noProof/>
        </w:rPr>
        <w:t>turuar n</w:t>
      </w:r>
      <w:r w:rsidR="008E26DA" w:rsidRPr="00051667">
        <w:rPr>
          <w:rFonts w:ascii="Times New Roman" w:hAnsi="Times New Roman" w:cs="Times New Roman"/>
          <w:noProof/>
        </w:rPr>
        <w:t>ë</w:t>
      </w:r>
      <w:r w:rsidRPr="00051667">
        <w:rPr>
          <w:rFonts w:ascii="Times New Roman" w:hAnsi="Times New Roman" w:cs="Times New Roman"/>
          <w:noProof/>
        </w:rPr>
        <w:t xml:space="preserve"> </w:t>
      </w:r>
      <w:r w:rsidR="000E07AD" w:rsidRPr="00051667">
        <w:rPr>
          <w:rFonts w:ascii="Times New Roman" w:hAnsi="Times New Roman" w:cs="Times New Roman"/>
          <w:noProof/>
        </w:rPr>
        <w:t>VII</w:t>
      </w:r>
      <w:r w:rsidR="0087685E">
        <w:rPr>
          <w:rFonts w:ascii="Times New Roman" w:hAnsi="Times New Roman" w:cs="Times New Roman"/>
          <w:noProof/>
        </w:rPr>
        <w:t>I</w:t>
      </w:r>
      <w:r w:rsidR="000E07AD" w:rsidRPr="00051667">
        <w:rPr>
          <w:rFonts w:ascii="Times New Roman" w:hAnsi="Times New Roman" w:cs="Times New Roman"/>
          <w:noProof/>
        </w:rPr>
        <w:t xml:space="preserve"> </w:t>
      </w:r>
      <w:r w:rsidR="008E26DA" w:rsidRPr="00051667">
        <w:rPr>
          <w:rFonts w:ascii="Times New Roman" w:hAnsi="Times New Roman" w:cs="Times New Roman"/>
          <w:noProof/>
        </w:rPr>
        <w:t>K</w:t>
      </w:r>
      <w:r w:rsidR="000E07AD" w:rsidRPr="00051667">
        <w:rPr>
          <w:rFonts w:ascii="Times New Roman" w:hAnsi="Times New Roman" w:cs="Times New Roman"/>
          <w:noProof/>
        </w:rPr>
        <w:t>rehe dhe p</w:t>
      </w:r>
      <w:r w:rsidR="008E26DA" w:rsidRPr="00051667">
        <w:rPr>
          <w:rFonts w:ascii="Times New Roman" w:hAnsi="Times New Roman" w:cs="Times New Roman"/>
          <w:noProof/>
        </w:rPr>
        <w:t>ë</w:t>
      </w:r>
      <w:r w:rsidR="000E07AD" w:rsidRPr="00051667">
        <w:rPr>
          <w:rFonts w:ascii="Times New Roman" w:hAnsi="Times New Roman" w:cs="Times New Roman"/>
          <w:noProof/>
        </w:rPr>
        <w:t>r</w:t>
      </w:r>
      <w:r w:rsidR="00A60AE8" w:rsidRPr="00051667">
        <w:rPr>
          <w:rFonts w:ascii="Times New Roman" w:hAnsi="Times New Roman" w:cs="Times New Roman"/>
          <w:noProof/>
        </w:rPr>
        <w:t xml:space="preserve">mban </w:t>
      </w:r>
      <w:r w:rsidR="00F605B9">
        <w:rPr>
          <w:rFonts w:ascii="Times New Roman" w:hAnsi="Times New Roman" w:cs="Times New Roman"/>
          <w:noProof/>
        </w:rPr>
        <w:t>142 nene</w:t>
      </w:r>
      <w:r w:rsidR="00A60AE8" w:rsidRPr="00051667">
        <w:rPr>
          <w:rFonts w:ascii="Times New Roman" w:hAnsi="Times New Roman" w:cs="Times New Roman"/>
          <w:noProof/>
        </w:rPr>
        <w:t>. N</w:t>
      </w:r>
      <w:r w:rsidR="008E26DA" w:rsidRPr="00051667">
        <w:rPr>
          <w:rFonts w:ascii="Times New Roman" w:hAnsi="Times New Roman" w:cs="Times New Roman"/>
          <w:noProof/>
        </w:rPr>
        <w:t>ë</w:t>
      </w:r>
      <w:r w:rsidR="00A60AE8" w:rsidRPr="00051667">
        <w:rPr>
          <w:rFonts w:ascii="Times New Roman" w:hAnsi="Times New Roman" w:cs="Times New Roman"/>
          <w:noProof/>
        </w:rPr>
        <w:t xml:space="preserve"> m</w:t>
      </w:r>
      <w:r w:rsidR="008E26DA" w:rsidRPr="00051667">
        <w:rPr>
          <w:rFonts w:ascii="Times New Roman" w:hAnsi="Times New Roman" w:cs="Times New Roman"/>
          <w:noProof/>
        </w:rPr>
        <w:t>ë</w:t>
      </w:r>
      <w:r w:rsidR="00A60AE8" w:rsidRPr="00051667">
        <w:rPr>
          <w:rFonts w:ascii="Times New Roman" w:hAnsi="Times New Roman" w:cs="Times New Roman"/>
          <w:noProof/>
        </w:rPr>
        <w:t>nyr</w:t>
      </w:r>
      <w:r w:rsidR="008E26DA" w:rsidRPr="00051667">
        <w:rPr>
          <w:rFonts w:ascii="Times New Roman" w:hAnsi="Times New Roman" w:cs="Times New Roman"/>
          <w:noProof/>
        </w:rPr>
        <w:t>ë</w:t>
      </w:r>
      <w:r w:rsidR="00A60AE8" w:rsidRPr="00051667">
        <w:rPr>
          <w:rFonts w:ascii="Times New Roman" w:hAnsi="Times New Roman" w:cs="Times New Roman"/>
          <w:noProof/>
        </w:rPr>
        <w:t xml:space="preserve"> m</w:t>
      </w:r>
      <w:r w:rsidR="008E26DA" w:rsidRPr="00051667">
        <w:rPr>
          <w:rFonts w:ascii="Times New Roman" w:hAnsi="Times New Roman" w:cs="Times New Roman"/>
          <w:noProof/>
        </w:rPr>
        <w:t>ë</w:t>
      </w:r>
      <w:r w:rsidR="00A60AE8" w:rsidRPr="00051667">
        <w:rPr>
          <w:rFonts w:ascii="Times New Roman" w:hAnsi="Times New Roman" w:cs="Times New Roman"/>
          <w:noProof/>
        </w:rPr>
        <w:t xml:space="preserve"> t</w:t>
      </w:r>
      <w:r w:rsidR="008E26DA" w:rsidRPr="00051667">
        <w:rPr>
          <w:rFonts w:ascii="Times New Roman" w:hAnsi="Times New Roman" w:cs="Times New Roman"/>
          <w:noProof/>
        </w:rPr>
        <w:t>ë</w:t>
      </w:r>
      <w:r w:rsidR="00A60AE8" w:rsidRPr="00051667">
        <w:rPr>
          <w:rFonts w:ascii="Times New Roman" w:hAnsi="Times New Roman" w:cs="Times New Roman"/>
          <w:noProof/>
        </w:rPr>
        <w:t xml:space="preserve"> detajuar projek</w:t>
      </w:r>
      <w:r w:rsidR="008E26DA" w:rsidRPr="00051667">
        <w:rPr>
          <w:rFonts w:ascii="Times New Roman" w:hAnsi="Times New Roman" w:cs="Times New Roman"/>
          <w:noProof/>
        </w:rPr>
        <w:t>t</w:t>
      </w:r>
      <w:r w:rsidR="00A60AE8" w:rsidRPr="00051667">
        <w:rPr>
          <w:rFonts w:ascii="Times New Roman" w:hAnsi="Times New Roman" w:cs="Times New Roman"/>
          <w:noProof/>
        </w:rPr>
        <w:t xml:space="preserve">ligji rregullon: </w:t>
      </w:r>
      <w:r w:rsidRPr="00051667">
        <w:rPr>
          <w:rFonts w:ascii="Times New Roman" w:hAnsi="Times New Roman" w:cs="Times New Roman"/>
          <w:noProof/>
        </w:rPr>
        <w:t xml:space="preserve"> </w:t>
      </w:r>
    </w:p>
    <w:p w14:paraId="602D5A5B" w14:textId="77777777" w:rsidR="00C10871" w:rsidRPr="00051667" w:rsidRDefault="00C10871" w:rsidP="00051667">
      <w:pPr>
        <w:spacing w:after="0" w:line="276" w:lineRule="auto"/>
        <w:jc w:val="both"/>
        <w:rPr>
          <w:rFonts w:ascii="Times New Roman" w:hAnsi="Times New Roman" w:cs="Times New Roman"/>
          <w:noProof/>
        </w:rPr>
      </w:pPr>
    </w:p>
    <w:p w14:paraId="2280C1AB" w14:textId="5456F5CE" w:rsidR="006B1FDD"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w:t>
      </w:r>
      <w:r w:rsidR="00A60AE8" w:rsidRPr="00051667">
        <w:rPr>
          <w:rFonts w:ascii="Times New Roman" w:hAnsi="Times New Roman" w:cs="Times New Roman"/>
          <w:noProof/>
        </w:rPr>
        <w:t>,</w:t>
      </w:r>
      <w:r w:rsidRPr="00051667">
        <w:rPr>
          <w:rFonts w:ascii="Times New Roman" w:hAnsi="Times New Roman" w:cs="Times New Roman"/>
          <w:noProof/>
        </w:rPr>
        <w:t xml:space="preserve"> përcakton objektin e projektligjit duke përkufizuar qëllimet themelore si vendosj</w:t>
      </w:r>
      <w:r w:rsidR="0055150A" w:rsidRPr="00051667">
        <w:rPr>
          <w:rFonts w:ascii="Times New Roman" w:hAnsi="Times New Roman" w:cs="Times New Roman"/>
          <w:noProof/>
        </w:rPr>
        <w:t>en</w:t>
      </w:r>
      <w:r w:rsidRPr="00051667">
        <w:rPr>
          <w:rFonts w:ascii="Times New Roman" w:hAnsi="Times New Roman" w:cs="Times New Roman"/>
          <w:noProof/>
        </w:rPr>
        <w:t xml:space="preserve"> e rregullave dhe kërkesave për ofertën ndaj publikut dhe pranimin për tregtim të kripto-aseteve, si edhe përcaktimi</w:t>
      </w:r>
      <w:r w:rsidR="0055150A" w:rsidRPr="00051667">
        <w:rPr>
          <w:rFonts w:ascii="Times New Roman" w:hAnsi="Times New Roman" w:cs="Times New Roman"/>
          <w:noProof/>
        </w:rPr>
        <w:t xml:space="preserve">n e </w:t>
      </w:r>
      <w:r w:rsidRPr="00051667">
        <w:rPr>
          <w:rFonts w:ascii="Times New Roman" w:hAnsi="Times New Roman" w:cs="Times New Roman"/>
          <w:noProof/>
        </w:rPr>
        <w:t xml:space="preserve">kërkesave për ofruesit e shërbimeve në lidhje me kripto-asetet në Republikën e Shqipërisë. </w:t>
      </w:r>
    </w:p>
    <w:p w14:paraId="0B041409" w14:textId="77777777" w:rsidR="00C10871" w:rsidRPr="00051667" w:rsidRDefault="00C10871" w:rsidP="00051667">
      <w:pPr>
        <w:spacing w:after="0" w:line="276" w:lineRule="auto"/>
        <w:jc w:val="both"/>
        <w:rPr>
          <w:rFonts w:ascii="Times New Roman" w:hAnsi="Times New Roman" w:cs="Times New Roman"/>
          <w:noProof/>
        </w:rPr>
      </w:pPr>
    </w:p>
    <w:p w14:paraId="40926F8C" w14:textId="7F11A54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2</w:t>
      </w:r>
      <w:r w:rsidR="00A60AE8" w:rsidRPr="00051667">
        <w:rPr>
          <w:rFonts w:ascii="Times New Roman" w:hAnsi="Times New Roman" w:cs="Times New Roman"/>
          <w:noProof/>
        </w:rPr>
        <w:t>,</w:t>
      </w:r>
      <w:r w:rsidRPr="00051667">
        <w:rPr>
          <w:rFonts w:ascii="Times New Roman" w:hAnsi="Times New Roman" w:cs="Times New Roman"/>
          <w:noProof/>
        </w:rPr>
        <w:t xml:space="preserve"> përcakton fushën e zbatimit dhe përjashtimet, për të shmangur mbivendosjen me legjislacionin sektorial ekzistues. Zbatimi i projektligjit lidhet me çdo person fizik ose juridik që emeton, ofron ndaj publikut, kërkon pranimin për tregtim të kripto-aseteve ose ofron shërbime të lidhura me to në territorin e Republikës së Shqipërisë. Në të njëjtën kohë, neni identifikon raste kur instrumente ose veprimtari të caktuara rregullohen nga ligje të tjera (p.sh. instrumentet financiare, depozitat, depozitat e strukturuara, produktet e sigurimeve apo të pensioneve), ose kur organe publike veprojnë në kapacitete që i nënshtrohen kornizës së tyre të posaçme.</w:t>
      </w:r>
    </w:p>
    <w:p w14:paraId="1AA479D2" w14:textId="77777777" w:rsidR="00C10871" w:rsidRDefault="00C10871" w:rsidP="00051667">
      <w:pPr>
        <w:spacing w:after="0" w:line="276" w:lineRule="auto"/>
        <w:jc w:val="both"/>
        <w:rPr>
          <w:rFonts w:ascii="Times New Roman" w:hAnsi="Times New Roman" w:cs="Times New Roman"/>
          <w:noProof/>
        </w:rPr>
      </w:pPr>
    </w:p>
    <w:p w14:paraId="4CCE3110" w14:textId="368154F1"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w:t>
      </w:r>
      <w:r w:rsidR="00A60AE8" w:rsidRPr="00051667">
        <w:rPr>
          <w:rFonts w:ascii="Times New Roman" w:hAnsi="Times New Roman" w:cs="Times New Roman"/>
          <w:noProof/>
        </w:rPr>
        <w:t>,</w:t>
      </w:r>
      <w:r w:rsidRPr="00051667">
        <w:rPr>
          <w:rFonts w:ascii="Times New Roman" w:hAnsi="Times New Roman" w:cs="Times New Roman"/>
          <w:noProof/>
        </w:rPr>
        <w:t xml:space="preserve"> përkufizon konceptet që do të përdoren në të gjithë tekstin normativ të projektligjit dhe aktet nënligjore në zbatim të tij. Terma si “kripto-aset”, “teknologjia e regjistrave të shpërndarë”, “regjistër i shpërndarë”, “mekanizëm i konsensusit” dhe “nyje e rrjetit DLT” sqarohen në mënyrë të njëtrajtshme për të siguruar interpretim homogjen. Po kështu përkufizohen kategoritë e kripto-aseteve, si “tokeni i parasë elektronike” dhe “token i aseteve”, duke përcaktuar kriterin dallues të mbajtjes së vlerës përmes referimit pas një ose më shumë aseteve, përfshirë edhe një ose disa valuta</w:t>
      </w:r>
      <w:r w:rsidR="0055150A" w:rsidRPr="00051667">
        <w:rPr>
          <w:rFonts w:ascii="Times New Roman" w:hAnsi="Times New Roman" w:cs="Times New Roman"/>
          <w:noProof/>
        </w:rPr>
        <w:t>ve</w:t>
      </w:r>
      <w:r w:rsidRPr="00051667">
        <w:rPr>
          <w:rFonts w:ascii="Times New Roman" w:hAnsi="Times New Roman" w:cs="Times New Roman"/>
          <w:noProof/>
        </w:rPr>
        <w:t xml:space="preserve">. </w:t>
      </w:r>
    </w:p>
    <w:p w14:paraId="27E792B0" w14:textId="77777777" w:rsidR="00C10871" w:rsidRDefault="00C10871" w:rsidP="00051667">
      <w:pPr>
        <w:spacing w:after="0" w:line="276" w:lineRule="auto"/>
        <w:jc w:val="both"/>
        <w:rPr>
          <w:rFonts w:ascii="Times New Roman" w:hAnsi="Times New Roman" w:cs="Times New Roman"/>
          <w:noProof/>
        </w:rPr>
      </w:pPr>
    </w:p>
    <w:p w14:paraId="1D3D1F89" w14:textId="32E21FB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Kreu II rregullon kripto-asetet që nuk janë “token i aseteve” apo “tokeni i parasë elektronike” dhe vendos një regjim të posaçëm për ofertën ndaj publikut dhe/ose pranimin për tregtim. Ky Kre parashikon një mekanizëm njoftimi, jo miratimi paraprak që do të thotë se AMF nuk do të ketë detyrim të miratojë dokumentin përpara publikimit, por mund të kërkojë ndryshime plotësuese, të kërkojë përfshirjen e informacioneve shtesë dhe, kur kushtet e rregullores nuk respektohen, të pezullojë apo ndalojë ofertën/pranimin për tregtim, si dhe të publikojë paralajmërime zyrtare për publikun. Pas publikimit të dokumentit informues të njoftuar, ofertuesi mund të ofrojë kripto-asetin dhe të kërkojë pranimin për tregtim në të gjithë territorin e Republikës, pa barriera shtesë të informacionit—kjo është logjika pasaportizuese e kornizës.</w:t>
      </w:r>
    </w:p>
    <w:p w14:paraId="01909C98" w14:textId="77777777" w:rsidR="00C10871" w:rsidRDefault="00C10871" w:rsidP="00051667">
      <w:pPr>
        <w:spacing w:after="0" w:line="276" w:lineRule="auto"/>
        <w:jc w:val="both"/>
        <w:rPr>
          <w:rFonts w:ascii="Times New Roman" w:hAnsi="Times New Roman" w:cs="Times New Roman"/>
          <w:noProof/>
        </w:rPr>
      </w:pPr>
    </w:p>
    <w:p w14:paraId="4CEF93C0" w14:textId="0DF2B16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w:t>
      </w:r>
      <w:r w:rsidR="00C10871">
        <w:rPr>
          <w:rFonts w:ascii="Times New Roman" w:hAnsi="Times New Roman" w:cs="Times New Roman"/>
          <w:noProof/>
        </w:rPr>
        <w:t>,</w:t>
      </w:r>
      <w:r w:rsidRPr="00051667">
        <w:rPr>
          <w:rFonts w:ascii="Times New Roman" w:hAnsi="Times New Roman" w:cs="Times New Roman"/>
          <w:noProof/>
        </w:rPr>
        <w:t xml:space="preserve"> përcakton se një ofertë ndaj publikut në territorin e Republikës së Shqipërisë nuk mund të kryhet nëse ofertuesi nuk është subjekt juridik dhe nuk ka hartuar dokumentin informues sipas kërkesave materiale për përmbajtjen, qartësinë dhe mos-keqorientimin. Në të njëjtin nen përcaktohen edhe përjashtimet kur detyrimi për hartimin dhe publikimin e nj</w:t>
      </w:r>
      <w:r w:rsidR="00665016" w:rsidRPr="00051667">
        <w:rPr>
          <w:rFonts w:ascii="Times New Roman" w:hAnsi="Times New Roman" w:cs="Times New Roman"/>
          <w:noProof/>
        </w:rPr>
        <w:t>ë</w:t>
      </w:r>
      <w:r w:rsidRPr="00051667">
        <w:rPr>
          <w:rFonts w:ascii="Times New Roman" w:hAnsi="Times New Roman" w:cs="Times New Roman"/>
          <w:noProof/>
        </w:rPr>
        <w:t xml:space="preserve">  dokumenti informues nuk zbatohen, si p.sh. oferta shumë të kufizuara për numër subjektesh, shpërndarje pa kundërshpërblim ose si shpërblime për mirëmbajtjen e regjistrit të shpërndarë (mining/staking), si dhe raste të caktuara të tokenit të shërbimit kur malli/shërbimi ekziston dhe funksionon tashmë. </w:t>
      </w:r>
    </w:p>
    <w:p w14:paraId="1C6A5183" w14:textId="77777777" w:rsidR="00C10871" w:rsidRDefault="00C10871" w:rsidP="00051667">
      <w:pPr>
        <w:spacing w:after="0" w:line="276" w:lineRule="auto"/>
        <w:jc w:val="both"/>
        <w:rPr>
          <w:rFonts w:ascii="Times New Roman" w:hAnsi="Times New Roman" w:cs="Times New Roman"/>
          <w:noProof/>
        </w:rPr>
      </w:pPr>
    </w:p>
    <w:p w14:paraId="1E040372" w14:textId="04856EA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w:t>
      </w:r>
      <w:r w:rsidR="00C10871">
        <w:rPr>
          <w:rFonts w:ascii="Times New Roman" w:hAnsi="Times New Roman" w:cs="Times New Roman"/>
          <w:noProof/>
        </w:rPr>
        <w:t>,</w:t>
      </w:r>
      <w:r w:rsidRPr="00051667">
        <w:rPr>
          <w:rFonts w:ascii="Times New Roman" w:hAnsi="Times New Roman" w:cs="Times New Roman"/>
          <w:noProof/>
        </w:rPr>
        <w:t xml:space="preserve"> pasqyron të njëjtën logjikë për pranimin për tregtim ku parashikohet se kripto-aseti mund të pranohet në një platformë tregtimi vetëm pasi subjekti të ketë hartuar, njoftuar dhe publikuar dokumentin informues sipas përcaktimeve të k</w:t>
      </w:r>
      <w:r w:rsidR="00665016" w:rsidRPr="00051667">
        <w:rPr>
          <w:rFonts w:ascii="Times New Roman" w:hAnsi="Times New Roman" w:cs="Times New Roman"/>
          <w:noProof/>
        </w:rPr>
        <w:t>ë</w:t>
      </w:r>
      <w:r w:rsidRPr="00051667">
        <w:rPr>
          <w:rFonts w:ascii="Times New Roman" w:hAnsi="Times New Roman" w:cs="Times New Roman"/>
          <w:noProof/>
        </w:rPr>
        <w:t xml:space="preserve">tij projektligji. </w:t>
      </w:r>
    </w:p>
    <w:p w14:paraId="020FC11E" w14:textId="77777777" w:rsidR="00C10871" w:rsidRDefault="00C10871" w:rsidP="00051667">
      <w:pPr>
        <w:spacing w:after="0" w:line="276" w:lineRule="auto"/>
        <w:jc w:val="both"/>
        <w:rPr>
          <w:rFonts w:ascii="Times New Roman" w:hAnsi="Times New Roman" w:cs="Times New Roman"/>
          <w:noProof/>
        </w:rPr>
      </w:pPr>
    </w:p>
    <w:p w14:paraId="1B04E5F6" w14:textId="35C5D882"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Më tej, neni 6 i p</w:t>
      </w:r>
      <w:r w:rsidR="00665016" w:rsidRPr="00051667">
        <w:rPr>
          <w:rFonts w:ascii="Times New Roman" w:hAnsi="Times New Roman" w:cs="Times New Roman"/>
          <w:noProof/>
        </w:rPr>
        <w:t>ë</w:t>
      </w:r>
      <w:r w:rsidRPr="00051667">
        <w:rPr>
          <w:rFonts w:ascii="Times New Roman" w:hAnsi="Times New Roman" w:cs="Times New Roman"/>
          <w:noProof/>
        </w:rPr>
        <w:t>rcakton p</w:t>
      </w:r>
      <w:r w:rsidR="00665016" w:rsidRPr="00051667">
        <w:rPr>
          <w:rFonts w:ascii="Times New Roman" w:hAnsi="Times New Roman" w:cs="Times New Roman"/>
          <w:noProof/>
        </w:rPr>
        <w:t>ë</w:t>
      </w:r>
      <w:r w:rsidRPr="00051667">
        <w:rPr>
          <w:rFonts w:ascii="Times New Roman" w:hAnsi="Times New Roman" w:cs="Times New Roman"/>
          <w:noProof/>
        </w:rPr>
        <w:t>rmbajtjen e dokumentit informues si instrument thelb</w:t>
      </w:r>
      <w:r w:rsidR="00665016" w:rsidRPr="00051667">
        <w:rPr>
          <w:rFonts w:ascii="Times New Roman" w:hAnsi="Times New Roman" w:cs="Times New Roman"/>
          <w:noProof/>
        </w:rPr>
        <w:t>ë</w:t>
      </w:r>
      <w:r w:rsidRPr="00051667">
        <w:rPr>
          <w:rFonts w:ascii="Times New Roman" w:hAnsi="Times New Roman" w:cs="Times New Roman"/>
          <w:noProof/>
        </w:rPr>
        <w:t>sor i transparencës ndaj publikut, duke vendosur detyrime q</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rmbajtja e tij t</w:t>
      </w:r>
      <w:r w:rsidR="00665016" w:rsidRPr="00051667">
        <w:rPr>
          <w:rFonts w:ascii="Times New Roman" w:hAnsi="Times New Roman" w:cs="Times New Roman"/>
          <w:noProof/>
        </w:rPr>
        <w:t>ë</w:t>
      </w:r>
      <w:r w:rsidRPr="00051667">
        <w:rPr>
          <w:rFonts w:ascii="Times New Roman" w:hAnsi="Times New Roman" w:cs="Times New Roman"/>
          <w:noProof/>
        </w:rPr>
        <w:t xml:space="preserve"> të jetë e plotë, e qartë </w:t>
      </w:r>
      <w:r w:rsidRPr="00051667">
        <w:rPr>
          <w:rFonts w:ascii="Times New Roman" w:hAnsi="Times New Roman" w:cs="Times New Roman"/>
          <w:noProof/>
        </w:rPr>
        <w:lastRenderedPageBreak/>
        <w:t>dhe jo-keqorientues</w:t>
      </w:r>
      <w:r w:rsidR="0055150A" w:rsidRPr="00051667">
        <w:rPr>
          <w:rFonts w:ascii="Times New Roman" w:hAnsi="Times New Roman" w:cs="Times New Roman"/>
          <w:noProof/>
        </w:rPr>
        <w:t>e</w:t>
      </w:r>
      <w:r w:rsidRPr="00051667">
        <w:rPr>
          <w:rFonts w:ascii="Times New Roman" w:hAnsi="Times New Roman" w:cs="Times New Roman"/>
          <w:noProof/>
        </w:rPr>
        <w:t>, të jap</w:t>
      </w:r>
      <w:r w:rsidR="00665016" w:rsidRPr="00051667">
        <w:rPr>
          <w:rFonts w:ascii="Times New Roman" w:hAnsi="Times New Roman" w:cs="Times New Roman"/>
          <w:noProof/>
        </w:rPr>
        <w:t>ë</w:t>
      </w:r>
      <w:r w:rsidRPr="00051667">
        <w:rPr>
          <w:rFonts w:ascii="Times New Roman" w:hAnsi="Times New Roman" w:cs="Times New Roman"/>
          <w:noProof/>
        </w:rPr>
        <w:t xml:space="preserve"> t</w:t>
      </w:r>
      <w:r w:rsidR="00665016" w:rsidRPr="00051667">
        <w:rPr>
          <w:rFonts w:ascii="Times New Roman" w:hAnsi="Times New Roman" w:cs="Times New Roman"/>
          <w:noProof/>
        </w:rPr>
        <w:t>ë</w:t>
      </w:r>
      <w:r w:rsidRPr="00051667">
        <w:rPr>
          <w:rFonts w:ascii="Times New Roman" w:hAnsi="Times New Roman" w:cs="Times New Roman"/>
          <w:noProof/>
        </w:rPr>
        <w:t xml:space="preserve"> dh</w:t>
      </w:r>
      <w:r w:rsidR="00665016" w:rsidRPr="00051667">
        <w:rPr>
          <w:rFonts w:ascii="Times New Roman" w:hAnsi="Times New Roman" w:cs="Times New Roman"/>
          <w:noProof/>
        </w:rPr>
        <w:t>ë</w:t>
      </w:r>
      <w:r w:rsidRPr="00051667">
        <w:rPr>
          <w:rFonts w:ascii="Times New Roman" w:hAnsi="Times New Roman" w:cs="Times New Roman"/>
          <w:noProof/>
        </w:rPr>
        <w:t>na mbi subjektin emetues, modelin e tij veprimtarisë, teknologjinë e p</w:t>
      </w:r>
      <w:r w:rsidR="00665016" w:rsidRPr="00051667">
        <w:rPr>
          <w:rFonts w:ascii="Times New Roman" w:hAnsi="Times New Roman" w:cs="Times New Roman"/>
          <w:noProof/>
        </w:rPr>
        <w:t>ë</w:t>
      </w:r>
      <w:r w:rsidRPr="00051667">
        <w:rPr>
          <w:rFonts w:ascii="Times New Roman" w:hAnsi="Times New Roman" w:cs="Times New Roman"/>
          <w:noProof/>
        </w:rPr>
        <w:t>rdorur, të drejtat e investitor</w:t>
      </w:r>
      <w:r w:rsidR="00665016" w:rsidRPr="00051667">
        <w:rPr>
          <w:rFonts w:ascii="Times New Roman" w:hAnsi="Times New Roman" w:cs="Times New Roman"/>
          <w:noProof/>
        </w:rPr>
        <w:t>ë</w:t>
      </w:r>
      <w:r w:rsidRPr="00051667">
        <w:rPr>
          <w:rFonts w:ascii="Times New Roman" w:hAnsi="Times New Roman" w:cs="Times New Roman"/>
          <w:noProof/>
        </w:rPr>
        <w:t>ve dhe rreziqet potenciale, dhe të jetë në koherencë të plotë me materialet promovuese. Ky standard lidhet drejtpërdrejt me mbrojtjen e klientit joprofesionist dhe me integritetin e tregut.</w:t>
      </w:r>
    </w:p>
    <w:p w14:paraId="3E70B2BA" w14:textId="77777777" w:rsidR="00C10871" w:rsidRDefault="00C10871" w:rsidP="00051667">
      <w:pPr>
        <w:spacing w:after="0" w:line="276" w:lineRule="auto"/>
        <w:jc w:val="both"/>
        <w:rPr>
          <w:rFonts w:ascii="Times New Roman" w:hAnsi="Times New Roman" w:cs="Times New Roman"/>
          <w:noProof/>
        </w:rPr>
      </w:pPr>
    </w:p>
    <w:p w14:paraId="25F6D507" w14:textId="328D2AE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w:t>
      </w:r>
      <w:r w:rsidR="00C10871">
        <w:rPr>
          <w:rFonts w:ascii="Times New Roman" w:hAnsi="Times New Roman" w:cs="Times New Roman"/>
          <w:noProof/>
        </w:rPr>
        <w:t>,</w:t>
      </w:r>
      <w:r w:rsidRPr="00051667">
        <w:rPr>
          <w:rFonts w:ascii="Times New Roman" w:hAnsi="Times New Roman" w:cs="Times New Roman"/>
          <w:noProof/>
        </w:rPr>
        <w:t xml:space="preserve"> fokusohet tek materialet promovuese,  ku përcaktohen detyrimet qe materialet promovuese duhet të jenë të drejta e jo-keqorientuese si dhe nuk duhet të shp</w:t>
      </w:r>
      <w:r w:rsidR="00665016" w:rsidRPr="00051667">
        <w:rPr>
          <w:rFonts w:ascii="Times New Roman" w:hAnsi="Times New Roman" w:cs="Times New Roman"/>
          <w:noProof/>
        </w:rPr>
        <w:t>ë</w:t>
      </w:r>
      <w:r w:rsidRPr="00051667">
        <w:rPr>
          <w:rFonts w:ascii="Times New Roman" w:hAnsi="Times New Roman" w:cs="Times New Roman"/>
          <w:noProof/>
        </w:rPr>
        <w:t>rndahen para publikimit të dokumentit informues.</w:t>
      </w:r>
    </w:p>
    <w:p w14:paraId="6E452BE3" w14:textId="77777777" w:rsidR="00612C2D" w:rsidRDefault="00612C2D" w:rsidP="00051667">
      <w:pPr>
        <w:spacing w:after="0" w:line="276" w:lineRule="auto"/>
        <w:jc w:val="both"/>
        <w:rPr>
          <w:rFonts w:ascii="Times New Roman" w:hAnsi="Times New Roman" w:cs="Times New Roman"/>
          <w:noProof/>
        </w:rPr>
      </w:pPr>
    </w:p>
    <w:p w14:paraId="09572C09" w14:textId="67421C51"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Procedurat e njoftimit të emetimit të kripto-aseteve parashtrohen n</w:t>
      </w:r>
      <w:r w:rsidR="00665016" w:rsidRPr="00051667">
        <w:rPr>
          <w:rFonts w:ascii="Times New Roman" w:hAnsi="Times New Roman" w:cs="Times New Roman"/>
          <w:noProof/>
        </w:rPr>
        <w:t>ë</w:t>
      </w:r>
      <w:r w:rsidRPr="00051667">
        <w:rPr>
          <w:rFonts w:ascii="Times New Roman" w:hAnsi="Times New Roman" w:cs="Times New Roman"/>
          <w:noProof/>
        </w:rPr>
        <w:t xml:space="preserve"> nenet 8 dhe 9 t</w:t>
      </w:r>
      <w:r w:rsidR="00665016" w:rsidRPr="00051667">
        <w:rPr>
          <w:rFonts w:ascii="Times New Roman" w:hAnsi="Times New Roman" w:cs="Times New Roman"/>
          <w:noProof/>
        </w:rPr>
        <w:t>ë</w:t>
      </w:r>
      <w:r w:rsidRPr="00051667">
        <w:rPr>
          <w:rFonts w:ascii="Times New Roman" w:hAnsi="Times New Roman" w:cs="Times New Roman"/>
          <w:noProof/>
        </w:rPr>
        <w:t xml:space="preserve"> projekligjit. Sipas nenit 8, njoftimi i dokumentit informues i bëhet AMF  të paktën 20 ditë pune përpara publikimit, i shoqëruar me një arsyetim ligjor të klasifikimit ku që kripto-aseti nuk është instrument financiar, as “token i aseteve”, as “tokeni i parasë elektronike”), listën e shteteve ku synohet të ofrohet ky kripto-aset dhe afatet e e lançimit. Neni 9 kërkon që publikimi të bëhet në kohë të arsyeshme, por domosdoshmërisht përpara nisjes së ofertës/pranimit, dhe që dokument informues dhe marketingu të mbeten të aksesueshme për aq kohë sa kripto-aseti zotërohet nga publiku; versioni i publikuar duhet të jetë identik me atë të njoftuar. </w:t>
      </w:r>
    </w:p>
    <w:p w14:paraId="2AF5A184" w14:textId="77777777" w:rsidR="00612C2D" w:rsidRDefault="00612C2D" w:rsidP="00051667">
      <w:pPr>
        <w:spacing w:after="0" w:line="276" w:lineRule="auto"/>
        <w:jc w:val="both"/>
        <w:rPr>
          <w:rFonts w:ascii="Times New Roman" w:hAnsi="Times New Roman" w:cs="Times New Roman"/>
          <w:noProof/>
        </w:rPr>
      </w:pPr>
    </w:p>
    <w:p w14:paraId="70411B7A" w14:textId="6EB182D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Pas mbylljes së ofertës, neni 10 detyron publikimin e rezultateve brenda 20 ditëve nga përfundimi </w:t>
      </w:r>
      <w:r w:rsidR="0055150A" w:rsidRPr="00051667">
        <w:rPr>
          <w:rFonts w:ascii="Times New Roman" w:hAnsi="Times New Roman" w:cs="Times New Roman"/>
          <w:noProof/>
        </w:rPr>
        <w:t>i</w:t>
      </w:r>
      <w:r w:rsidRPr="00051667">
        <w:rPr>
          <w:rFonts w:ascii="Times New Roman" w:hAnsi="Times New Roman" w:cs="Times New Roman"/>
          <w:noProof/>
        </w:rPr>
        <w:t xml:space="preserve"> ofertës dhe kërkon ruajtjen e sigurt të fondeve/kripto-aseteve të mbledhura përmes një pale të tretë (institucion krediti ose ofrues i “kujdestarisë dhe administrimit të kripto-aseteve për llogari të klientëve”), për të veçuar qartësisht asetet e publikut nga ato të ofertuesit. </w:t>
      </w:r>
    </w:p>
    <w:p w14:paraId="2032BCF1" w14:textId="77777777" w:rsidR="00612C2D" w:rsidRDefault="00612C2D" w:rsidP="00051667">
      <w:pPr>
        <w:spacing w:after="0" w:line="276" w:lineRule="auto"/>
        <w:jc w:val="both"/>
        <w:rPr>
          <w:rFonts w:ascii="Times New Roman" w:hAnsi="Times New Roman" w:cs="Times New Roman"/>
          <w:noProof/>
        </w:rPr>
      </w:pPr>
    </w:p>
    <w:p w14:paraId="0CC7F8BB" w14:textId="6576F8C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 përcakton se pasi dokument informues të jetë njoftuar dhe publikuar n</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rputhje m</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t</w:t>
      </w:r>
      <w:r w:rsidR="00665016" w:rsidRPr="00051667">
        <w:rPr>
          <w:rFonts w:ascii="Times New Roman" w:hAnsi="Times New Roman" w:cs="Times New Roman"/>
          <w:noProof/>
        </w:rPr>
        <w:t>ë</w:t>
      </w:r>
      <w:r w:rsidRPr="00051667">
        <w:rPr>
          <w:rFonts w:ascii="Times New Roman" w:hAnsi="Times New Roman" w:cs="Times New Roman"/>
          <w:noProof/>
        </w:rPr>
        <w:t xml:space="preserve"> projektligj, emetuesi ose ofertuesi mund ta ofroj</w:t>
      </w:r>
      <w:r w:rsidR="00665016" w:rsidRPr="00051667">
        <w:rPr>
          <w:rFonts w:ascii="Times New Roman" w:hAnsi="Times New Roman" w:cs="Times New Roman"/>
          <w:noProof/>
        </w:rPr>
        <w:t>ë</w:t>
      </w:r>
      <w:r w:rsidRPr="00051667">
        <w:rPr>
          <w:rFonts w:ascii="Times New Roman" w:hAnsi="Times New Roman" w:cs="Times New Roman"/>
          <w:noProof/>
        </w:rPr>
        <w:t xml:space="preserve"> ndaj publikut ose t</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rkoj</w:t>
      </w:r>
      <w:r w:rsidR="00665016" w:rsidRPr="00051667">
        <w:rPr>
          <w:rFonts w:ascii="Times New Roman" w:hAnsi="Times New Roman" w:cs="Times New Roman"/>
          <w:noProof/>
        </w:rPr>
        <w:t>ë</w:t>
      </w:r>
      <w:r w:rsidRPr="00051667">
        <w:rPr>
          <w:rFonts w:ascii="Times New Roman" w:hAnsi="Times New Roman" w:cs="Times New Roman"/>
          <w:noProof/>
        </w:rPr>
        <w:t xml:space="preserve"> pranimin p</w:t>
      </w:r>
      <w:r w:rsidR="00665016" w:rsidRPr="00051667">
        <w:rPr>
          <w:rFonts w:ascii="Times New Roman" w:hAnsi="Times New Roman" w:cs="Times New Roman"/>
          <w:noProof/>
        </w:rPr>
        <w:t>ë</w:t>
      </w:r>
      <w:r w:rsidRPr="00051667">
        <w:rPr>
          <w:rFonts w:ascii="Times New Roman" w:hAnsi="Times New Roman" w:cs="Times New Roman"/>
          <w:noProof/>
        </w:rPr>
        <w:t>r tregtim n</w:t>
      </w:r>
      <w:r w:rsidR="00665016" w:rsidRPr="00051667">
        <w:rPr>
          <w:rFonts w:ascii="Times New Roman" w:hAnsi="Times New Roman" w:cs="Times New Roman"/>
          <w:noProof/>
        </w:rPr>
        <w:t>ë</w:t>
      </w:r>
      <w:r w:rsidRPr="00051667">
        <w:rPr>
          <w:rFonts w:ascii="Times New Roman" w:hAnsi="Times New Roman" w:cs="Times New Roman"/>
          <w:noProof/>
        </w:rPr>
        <w:t xml:space="preserve"> t</w:t>
      </w:r>
      <w:r w:rsidR="00665016" w:rsidRPr="00051667">
        <w:rPr>
          <w:rFonts w:ascii="Times New Roman" w:hAnsi="Times New Roman" w:cs="Times New Roman"/>
          <w:noProof/>
        </w:rPr>
        <w:t>ë</w:t>
      </w:r>
      <w:r w:rsidRPr="00051667">
        <w:rPr>
          <w:rFonts w:ascii="Times New Roman" w:hAnsi="Times New Roman" w:cs="Times New Roman"/>
          <w:noProof/>
        </w:rPr>
        <w:t xml:space="preserve"> gjith</w:t>
      </w:r>
      <w:r w:rsidR="00665016" w:rsidRPr="00051667">
        <w:rPr>
          <w:rFonts w:ascii="Times New Roman" w:hAnsi="Times New Roman" w:cs="Times New Roman"/>
          <w:noProof/>
        </w:rPr>
        <w:t>ë</w:t>
      </w:r>
      <w:r w:rsidRPr="00051667">
        <w:rPr>
          <w:rFonts w:ascii="Times New Roman" w:hAnsi="Times New Roman" w:cs="Times New Roman"/>
          <w:noProof/>
        </w:rPr>
        <w:t xml:space="preserve"> territorin e Republik</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xml:space="preserve">. </w:t>
      </w:r>
    </w:p>
    <w:p w14:paraId="3D73F011" w14:textId="77777777" w:rsidR="00612C2D" w:rsidRDefault="00612C2D" w:rsidP="00051667">
      <w:pPr>
        <w:spacing w:after="0" w:line="276" w:lineRule="auto"/>
        <w:jc w:val="both"/>
        <w:rPr>
          <w:rFonts w:ascii="Times New Roman" w:hAnsi="Times New Roman" w:cs="Times New Roman"/>
          <w:noProof/>
        </w:rPr>
      </w:pPr>
    </w:p>
    <w:p w14:paraId="6E9DD680" w14:textId="55872A7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konstatohen faktorë të rinj thelbësorë, gabime apo pasaktësi që ndikojnë vlerësimin e kripto-asetit nga ana e publikut, neni 12 kërkon ndryshimin e dokumentit informues, duke p</w:t>
      </w:r>
      <w:r w:rsidR="00665016" w:rsidRPr="00051667">
        <w:rPr>
          <w:rFonts w:ascii="Times New Roman" w:hAnsi="Times New Roman" w:cs="Times New Roman"/>
          <w:noProof/>
        </w:rPr>
        <w:t>ë</w:t>
      </w:r>
      <w:r w:rsidRPr="00051667">
        <w:rPr>
          <w:rFonts w:ascii="Times New Roman" w:hAnsi="Times New Roman" w:cs="Times New Roman"/>
          <w:noProof/>
        </w:rPr>
        <w:t>rcaktuar detyrimin e subjektit p</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njoftuar njoftuar AMF paraprakisht t</w:t>
      </w:r>
      <w:r w:rsidR="00665016" w:rsidRPr="00051667">
        <w:rPr>
          <w:rFonts w:ascii="Times New Roman" w:hAnsi="Times New Roman" w:cs="Times New Roman"/>
          <w:noProof/>
        </w:rPr>
        <w:t>ë</w:t>
      </w:r>
      <w:r w:rsidRPr="00051667">
        <w:rPr>
          <w:rFonts w:ascii="Times New Roman" w:hAnsi="Times New Roman" w:cs="Times New Roman"/>
          <w:noProof/>
        </w:rPr>
        <w:t xml:space="preserve"> pakt</w:t>
      </w:r>
      <w:r w:rsidR="00665016" w:rsidRPr="00051667">
        <w:rPr>
          <w:rFonts w:ascii="Times New Roman" w:hAnsi="Times New Roman" w:cs="Times New Roman"/>
          <w:noProof/>
        </w:rPr>
        <w:t>ë</w:t>
      </w:r>
      <w:r w:rsidRPr="00051667">
        <w:rPr>
          <w:rFonts w:ascii="Times New Roman" w:hAnsi="Times New Roman" w:cs="Times New Roman"/>
          <w:noProof/>
        </w:rPr>
        <w:t>n 7 dit</w:t>
      </w:r>
      <w:r w:rsidR="00665016" w:rsidRPr="00051667">
        <w:rPr>
          <w:rFonts w:ascii="Times New Roman" w:hAnsi="Times New Roman" w:cs="Times New Roman"/>
          <w:noProof/>
        </w:rPr>
        <w:t>ë</w:t>
      </w:r>
      <w:r w:rsidRPr="00051667">
        <w:rPr>
          <w:rFonts w:ascii="Times New Roman" w:hAnsi="Times New Roman" w:cs="Times New Roman"/>
          <w:noProof/>
        </w:rPr>
        <w:t xml:space="preserve"> pune p</w:t>
      </w:r>
      <w:r w:rsidR="00665016" w:rsidRPr="00051667">
        <w:rPr>
          <w:rFonts w:ascii="Times New Roman" w:hAnsi="Times New Roman" w:cs="Times New Roman"/>
          <w:noProof/>
        </w:rPr>
        <w:t>ë</w:t>
      </w:r>
      <w:r w:rsidRPr="00051667">
        <w:rPr>
          <w:rFonts w:ascii="Times New Roman" w:hAnsi="Times New Roman" w:cs="Times New Roman"/>
          <w:noProof/>
        </w:rPr>
        <w:t>rpara publikimit t</w:t>
      </w:r>
      <w:r w:rsidR="00665016" w:rsidRPr="00051667">
        <w:rPr>
          <w:rFonts w:ascii="Times New Roman" w:hAnsi="Times New Roman" w:cs="Times New Roman"/>
          <w:noProof/>
        </w:rPr>
        <w:t>ë</w:t>
      </w:r>
      <w:r w:rsidRPr="00051667">
        <w:rPr>
          <w:rFonts w:ascii="Times New Roman" w:hAnsi="Times New Roman" w:cs="Times New Roman"/>
          <w:noProof/>
        </w:rPr>
        <w:t xml:space="preserve"> tyre(me afatin e përcaktuar në ligj), dhe publikimin e  versionit t</w:t>
      </w:r>
      <w:r w:rsidR="00665016" w:rsidRPr="00051667">
        <w:rPr>
          <w:rFonts w:ascii="Times New Roman" w:hAnsi="Times New Roman" w:cs="Times New Roman"/>
          <w:noProof/>
        </w:rPr>
        <w:t>ë</w:t>
      </w:r>
      <w:r w:rsidRPr="00051667">
        <w:rPr>
          <w:rFonts w:ascii="Times New Roman" w:hAnsi="Times New Roman" w:cs="Times New Roman"/>
          <w:noProof/>
        </w:rPr>
        <w:t xml:space="preserve"> përditësuar, si dhe mbajtjen e të gjitha versioneve t</w:t>
      </w:r>
      <w:r w:rsidR="00665016" w:rsidRPr="00051667">
        <w:rPr>
          <w:rFonts w:ascii="Times New Roman" w:hAnsi="Times New Roman" w:cs="Times New Roman"/>
          <w:noProof/>
        </w:rPr>
        <w:t>ë</w:t>
      </w:r>
      <w:r w:rsidRPr="00051667">
        <w:rPr>
          <w:rFonts w:ascii="Times New Roman" w:hAnsi="Times New Roman" w:cs="Times New Roman"/>
          <w:noProof/>
        </w:rPr>
        <w:t xml:space="preserve"> dokumentit informues t</w:t>
      </w:r>
      <w:r w:rsidR="00665016" w:rsidRPr="00051667">
        <w:rPr>
          <w:rFonts w:ascii="Times New Roman" w:hAnsi="Times New Roman" w:cs="Times New Roman"/>
          <w:noProof/>
        </w:rPr>
        <w:t>ë</w:t>
      </w:r>
      <w:r w:rsidRPr="00051667">
        <w:rPr>
          <w:rFonts w:ascii="Times New Roman" w:hAnsi="Times New Roman" w:cs="Times New Roman"/>
          <w:noProof/>
        </w:rPr>
        <w:t xml:space="preserve"> akesueshme nga publiku me q</w:t>
      </w:r>
      <w:r w:rsidR="00665016" w:rsidRPr="00051667">
        <w:rPr>
          <w:rFonts w:ascii="Times New Roman" w:hAnsi="Times New Roman" w:cs="Times New Roman"/>
          <w:noProof/>
        </w:rPr>
        <w:t>ë</w:t>
      </w:r>
      <w:r w:rsidRPr="00051667">
        <w:rPr>
          <w:rFonts w:ascii="Times New Roman" w:hAnsi="Times New Roman" w:cs="Times New Roman"/>
          <w:noProof/>
        </w:rPr>
        <w:t>llim sigurimin e gjurmueshmëris</w:t>
      </w:r>
      <w:r w:rsidR="00665016" w:rsidRPr="00051667">
        <w:rPr>
          <w:rFonts w:ascii="Times New Roman" w:hAnsi="Times New Roman" w:cs="Times New Roman"/>
          <w:noProof/>
        </w:rPr>
        <w:t>ë</w:t>
      </w:r>
      <w:r w:rsidRPr="00051667">
        <w:rPr>
          <w:rFonts w:ascii="Times New Roman" w:hAnsi="Times New Roman" w:cs="Times New Roman"/>
          <w:noProof/>
        </w:rPr>
        <w:t>. (Neni 12)</w:t>
      </w:r>
      <w:r w:rsidR="0055150A" w:rsidRPr="00051667">
        <w:rPr>
          <w:rFonts w:ascii="Times New Roman" w:hAnsi="Times New Roman" w:cs="Times New Roman"/>
          <w:noProof/>
        </w:rPr>
        <w:t>.</w:t>
      </w:r>
    </w:p>
    <w:p w14:paraId="1F9F5909" w14:textId="77777777" w:rsidR="00612C2D" w:rsidRDefault="00612C2D" w:rsidP="00051667">
      <w:pPr>
        <w:spacing w:after="0" w:line="276" w:lineRule="auto"/>
        <w:jc w:val="both"/>
        <w:rPr>
          <w:rFonts w:ascii="Times New Roman" w:hAnsi="Times New Roman" w:cs="Times New Roman"/>
          <w:noProof/>
        </w:rPr>
      </w:pPr>
    </w:p>
    <w:p w14:paraId="383AF206" w14:textId="23CD8CC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Me q</w:t>
      </w:r>
      <w:r w:rsidR="00665016" w:rsidRPr="00051667">
        <w:rPr>
          <w:rFonts w:ascii="Times New Roman" w:hAnsi="Times New Roman" w:cs="Times New Roman"/>
          <w:noProof/>
        </w:rPr>
        <w:t>ë</w:t>
      </w:r>
      <w:r w:rsidRPr="00051667">
        <w:rPr>
          <w:rFonts w:ascii="Times New Roman" w:hAnsi="Times New Roman" w:cs="Times New Roman"/>
          <w:noProof/>
        </w:rPr>
        <w:t>llim mbrojtjen e interesave t</w:t>
      </w:r>
      <w:r w:rsidR="00665016" w:rsidRPr="00051667">
        <w:rPr>
          <w:rFonts w:ascii="Times New Roman" w:hAnsi="Times New Roman" w:cs="Times New Roman"/>
          <w:noProof/>
        </w:rPr>
        <w:t>ë</w:t>
      </w:r>
      <w:r w:rsidRPr="00051667">
        <w:rPr>
          <w:rFonts w:ascii="Times New Roman" w:hAnsi="Times New Roman" w:cs="Times New Roman"/>
          <w:noProof/>
        </w:rPr>
        <w:t xml:space="preserve"> klient</w:t>
      </w:r>
      <w:r w:rsidR="00665016" w:rsidRPr="00051667">
        <w:rPr>
          <w:rFonts w:ascii="Times New Roman" w:hAnsi="Times New Roman" w:cs="Times New Roman"/>
          <w:noProof/>
        </w:rPr>
        <w:t>ë</w:t>
      </w:r>
      <w:r w:rsidRPr="00051667">
        <w:rPr>
          <w:rFonts w:ascii="Times New Roman" w:hAnsi="Times New Roman" w:cs="Times New Roman"/>
          <w:noProof/>
        </w:rPr>
        <w:t xml:space="preserve">ve jo-profesionist, neni 13 parashikon të drejtën e tërheqjes nga investimi brenda 14 ditëve kalendarike, pa tarifa shtesë, me rimbursim brenda afatit, përveç rasteve kur kripto-aseti ishte tashmë i pranuar për tregtim para blerjes ose kur afati </w:t>
      </w:r>
      <w:r w:rsidR="0055150A" w:rsidRPr="00051667">
        <w:rPr>
          <w:rFonts w:ascii="Times New Roman" w:hAnsi="Times New Roman" w:cs="Times New Roman"/>
          <w:noProof/>
        </w:rPr>
        <w:t>i</w:t>
      </w:r>
      <w:r w:rsidRPr="00051667">
        <w:rPr>
          <w:rFonts w:ascii="Times New Roman" w:hAnsi="Times New Roman" w:cs="Times New Roman"/>
          <w:noProof/>
        </w:rPr>
        <w:t xml:space="preserve"> ofert</w:t>
      </w:r>
      <w:r w:rsidR="00665016" w:rsidRPr="00051667">
        <w:rPr>
          <w:rFonts w:ascii="Times New Roman" w:hAnsi="Times New Roman" w:cs="Times New Roman"/>
          <w:noProof/>
        </w:rPr>
        <w:t>ë</w:t>
      </w:r>
      <w:r w:rsidRPr="00051667">
        <w:rPr>
          <w:rFonts w:ascii="Times New Roman" w:hAnsi="Times New Roman" w:cs="Times New Roman"/>
          <w:noProof/>
        </w:rPr>
        <w:t>s ndaj publikut ka p</w:t>
      </w:r>
      <w:r w:rsidR="00665016" w:rsidRPr="00051667">
        <w:rPr>
          <w:rFonts w:ascii="Times New Roman" w:hAnsi="Times New Roman" w:cs="Times New Roman"/>
          <w:noProof/>
        </w:rPr>
        <w:t>ë</w:t>
      </w:r>
      <w:r w:rsidRPr="00051667">
        <w:rPr>
          <w:rFonts w:ascii="Times New Roman" w:hAnsi="Times New Roman" w:cs="Times New Roman"/>
          <w:noProof/>
        </w:rPr>
        <w:t xml:space="preserve">rfunduar. </w:t>
      </w:r>
    </w:p>
    <w:p w14:paraId="6605C0BC" w14:textId="77777777" w:rsidR="00612C2D" w:rsidRDefault="00612C2D" w:rsidP="00051667">
      <w:pPr>
        <w:spacing w:after="0" w:line="276" w:lineRule="auto"/>
        <w:jc w:val="both"/>
        <w:rPr>
          <w:rFonts w:ascii="Times New Roman" w:hAnsi="Times New Roman" w:cs="Times New Roman"/>
          <w:noProof/>
        </w:rPr>
      </w:pPr>
    </w:p>
    <w:p w14:paraId="48639E08" w14:textId="3F27697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14 përcakton detyrimet e ofertuesve dhe subjekteve që kërkojnë pranimin për tregtim të kripto-aseteve të ndryshme nga tokenat e asetit ose tokenat e parasë elektronike, duke përfshirë këtu detyrimin për sjellje të ndershme, të drejtë e profesionale, komunikime të qarta e jo-keqorientuese, trajtim të barabartë të zotëruesve të kripto-asetit, identifikim e menaxhim të konflikteve të interesit, zbatimin e masave të sigurisë teknike dhe kthimin e fondeve në rastet e anulimit të ofertës.</w:t>
      </w:r>
    </w:p>
    <w:p w14:paraId="2E70A138" w14:textId="77777777" w:rsidR="00612C2D" w:rsidRDefault="00612C2D" w:rsidP="00051667">
      <w:pPr>
        <w:spacing w:after="0" w:line="276" w:lineRule="auto"/>
        <w:jc w:val="both"/>
        <w:rPr>
          <w:rFonts w:ascii="Times New Roman" w:hAnsi="Times New Roman" w:cs="Times New Roman"/>
          <w:noProof/>
        </w:rPr>
      </w:pPr>
    </w:p>
    <w:p w14:paraId="30B2682F" w14:textId="05BFE995"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15 parashikon përgjegjësitë për informacionin e përfshirë në dokumentin informues, ku përcaktohet qartë se ofertuesi ose subjekti që kërkon pranim për tregtim mbajnë përgjegjësi civile për çdo informacion të paplotë, të pasaktë ose keqorientues që u shkakton dëm mbajtësve, pa mundësi shkarkimi të  p</w:t>
      </w:r>
      <w:r w:rsidR="00665016" w:rsidRPr="00051667">
        <w:rPr>
          <w:rFonts w:ascii="Times New Roman" w:hAnsi="Times New Roman" w:cs="Times New Roman"/>
          <w:noProof/>
        </w:rPr>
        <w:t>ë</w:t>
      </w:r>
      <w:r w:rsidRPr="00051667">
        <w:rPr>
          <w:rFonts w:ascii="Times New Roman" w:hAnsi="Times New Roman" w:cs="Times New Roman"/>
          <w:noProof/>
        </w:rPr>
        <w:t>rgjegj</w:t>
      </w:r>
      <w:r w:rsidR="00665016" w:rsidRPr="00051667">
        <w:rPr>
          <w:rFonts w:ascii="Times New Roman" w:hAnsi="Times New Roman" w:cs="Times New Roman"/>
          <w:noProof/>
        </w:rPr>
        <w:t>ë</w:t>
      </w:r>
      <w:r w:rsidRPr="00051667">
        <w:rPr>
          <w:rFonts w:ascii="Times New Roman" w:hAnsi="Times New Roman" w:cs="Times New Roman"/>
          <w:noProof/>
        </w:rPr>
        <w:t>sive p</w:t>
      </w:r>
      <w:r w:rsidR="00665016" w:rsidRPr="00051667">
        <w:rPr>
          <w:rFonts w:ascii="Times New Roman" w:hAnsi="Times New Roman" w:cs="Times New Roman"/>
          <w:noProof/>
        </w:rPr>
        <w:t>ë</w:t>
      </w:r>
      <w:r w:rsidRPr="00051667">
        <w:rPr>
          <w:rFonts w:ascii="Times New Roman" w:hAnsi="Times New Roman" w:cs="Times New Roman"/>
          <w:noProof/>
        </w:rPr>
        <w:t>rmes marr</w:t>
      </w:r>
      <w:r w:rsidR="00665016" w:rsidRPr="00051667">
        <w:rPr>
          <w:rFonts w:ascii="Times New Roman" w:hAnsi="Times New Roman" w:cs="Times New Roman"/>
          <w:noProof/>
        </w:rPr>
        <w:t>ë</w:t>
      </w:r>
      <w:r w:rsidRPr="00051667">
        <w:rPr>
          <w:rFonts w:ascii="Times New Roman" w:hAnsi="Times New Roman" w:cs="Times New Roman"/>
          <w:noProof/>
        </w:rPr>
        <w:t>veshjeve individuale me klient</w:t>
      </w:r>
      <w:r w:rsidR="00665016" w:rsidRPr="00051667">
        <w:rPr>
          <w:rFonts w:ascii="Times New Roman" w:hAnsi="Times New Roman" w:cs="Times New Roman"/>
          <w:noProof/>
        </w:rPr>
        <w:t>ë</w:t>
      </w:r>
      <w:r w:rsidRPr="00051667">
        <w:rPr>
          <w:rFonts w:ascii="Times New Roman" w:hAnsi="Times New Roman" w:cs="Times New Roman"/>
          <w:noProof/>
        </w:rPr>
        <w:t>t ose investitor</w:t>
      </w:r>
      <w:r w:rsidR="00665016" w:rsidRPr="00051667">
        <w:rPr>
          <w:rFonts w:ascii="Times New Roman" w:hAnsi="Times New Roman" w:cs="Times New Roman"/>
          <w:noProof/>
        </w:rPr>
        <w:t>ë</w:t>
      </w:r>
      <w:r w:rsidRPr="00051667">
        <w:rPr>
          <w:rFonts w:ascii="Times New Roman" w:hAnsi="Times New Roman" w:cs="Times New Roman"/>
          <w:noProof/>
        </w:rPr>
        <w:t xml:space="preserve">t. </w:t>
      </w:r>
    </w:p>
    <w:p w14:paraId="47538D4B" w14:textId="4838186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Kreu III vendos rregullat e autorizimit dhe </w:t>
      </w:r>
      <w:r w:rsidR="0055150A" w:rsidRPr="00051667">
        <w:rPr>
          <w:rFonts w:ascii="Times New Roman" w:hAnsi="Times New Roman" w:cs="Times New Roman"/>
          <w:noProof/>
        </w:rPr>
        <w:t xml:space="preserve">të </w:t>
      </w:r>
      <w:r w:rsidRPr="00051667">
        <w:rPr>
          <w:rFonts w:ascii="Times New Roman" w:hAnsi="Times New Roman" w:cs="Times New Roman"/>
          <w:noProof/>
        </w:rPr>
        <w:t xml:space="preserve">mbikëqyrjes për emetuesit e tokenave të asetit, nga miratimi i dokumenteve informuese, qeverisja dhe menaxhimi i rezervës së aseteve, kriteret dhe pasojat e klasifikimit si “token aseti me rëndësi të lartë”, si dhe planet e rimëkëmbjes </w:t>
      </w:r>
      <w:r w:rsidR="00E96F34" w:rsidRPr="00051667">
        <w:rPr>
          <w:rFonts w:ascii="Times New Roman" w:hAnsi="Times New Roman" w:cs="Times New Roman"/>
          <w:noProof/>
        </w:rPr>
        <w:t>dh</w:t>
      </w:r>
      <w:r w:rsidRPr="00051667">
        <w:rPr>
          <w:rFonts w:ascii="Times New Roman" w:hAnsi="Times New Roman" w:cs="Times New Roman"/>
          <w:noProof/>
        </w:rPr>
        <w:t>e shlyerjes 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ka kriza likuiditeti ose tërheqje masive.</w:t>
      </w:r>
    </w:p>
    <w:p w14:paraId="5090A231" w14:textId="77777777" w:rsidR="00612C2D" w:rsidRDefault="00612C2D" w:rsidP="00051667">
      <w:pPr>
        <w:spacing w:after="0" w:line="276" w:lineRule="auto"/>
        <w:jc w:val="both"/>
        <w:rPr>
          <w:rFonts w:ascii="Times New Roman" w:hAnsi="Times New Roman" w:cs="Times New Roman"/>
          <w:noProof/>
        </w:rPr>
      </w:pPr>
    </w:p>
    <w:p w14:paraId="5923B627" w14:textId="77777777" w:rsidR="00612C2D" w:rsidRDefault="00612C2D" w:rsidP="00051667">
      <w:pPr>
        <w:spacing w:after="0" w:line="276" w:lineRule="auto"/>
        <w:jc w:val="both"/>
        <w:rPr>
          <w:rFonts w:ascii="Times New Roman" w:hAnsi="Times New Roman" w:cs="Times New Roman"/>
          <w:noProof/>
        </w:rPr>
      </w:pPr>
    </w:p>
    <w:p w14:paraId="6B605541" w14:textId="57AB13C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16 përcakton se askush nuk mund të ofrojë publikisht ose të kërkojë pranimin për tregtim të një tokeni të asetit pa qenë emetues i autorizuar sipas k</w:t>
      </w:r>
      <w:r w:rsidR="00665016" w:rsidRPr="00051667">
        <w:rPr>
          <w:rFonts w:ascii="Times New Roman" w:hAnsi="Times New Roman" w:cs="Times New Roman"/>
          <w:noProof/>
        </w:rPr>
        <w:t>ë</w:t>
      </w:r>
      <w:r w:rsidRPr="00051667">
        <w:rPr>
          <w:rFonts w:ascii="Times New Roman" w:hAnsi="Times New Roman" w:cs="Times New Roman"/>
          <w:noProof/>
        </w:rPr>
        <w:t>tij projektligji,</w:t>
      </w:r>
      <w:r w:rsidR="00E96F34" w:rsidRPr="00051667">
        <w:rPr>
          <w:rFonts w:ascii="Times New Roman" w:hAnsi="Times New Roman" w:cs="Times New Roman"/>
          <w:noProof/>
        </w:rPr>
        <w:t xml:space="preserve"> </w:t>
      </w:r>
      <w:r w:rsidRPr="00051667">
        <w:rPr>
          <w:rFonts w:ascii="Times New Roman" w:hAnsi="Times New Roman" w:cs="Times New Roman"/>
          <w:noProof/>
        </w:rPr>
        <w:t>dhe p</w:t>
      </w:r>
      <w:r w:rsidR="00665016" w:rsidRPr="00051667">
        <w:rPr>
          <w:rFonts w:ascii="Times New Roman" w:hAnsi="Times New Roman" w:cs="Times New Roman"/>
          <w:noProof/>
        </w:rPr>
        <w:t>ë</w:t>
      </w:r>
      <w:r w:rsidRPr="00051667">
        <w:rPr>
          <w:rFonts w:ascii="Times New Roman" w:hAnsi="Times New Roman" w:cs="Times New Roman"/>
          <w:noProof/>
        </w:rPr>
        <w:t>rcakton vlefshmërinë  e autorizimeve në të gjithë territorin e Republikës së Shqipërisë.</w:t>
      </w:r>
    </w:p>
    <w:p w14:paraId="0444A8A4" w14:textId="77777777" w:rsidR="00612C2D" w:rsidRDefault="00612C2D" w:rsidP="00051667">
      <w:pPr>
        <w:spacing w:after="0" w:line="276" w:lineRule="auto"/>
        <w:jc w:val="both"/>
        <w:rPr>
          <w:rFonts w:ascii="Times New Roman" w:hAnsi="Times New Roman" w:cs="Times New Roman"/>
          <w:noProof/>
        </w:rPr>
      </w:pPr>
    </w:p>
    <w:p w14:paraId="69B384BD" w14:textId="7DA37EC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Neni 17 vendos rregulla të posaçme për institucionet e kreditit që emetojnë tokena të asetit, përfshirë detyrimin për dokument informues, njoftim të paktën 90 ditë pune përpara emetimit të parë dhe kërkesat mbi programin e veprimtarisë, qeverisjen dhe kontrollin e brendshëm. </w:t>
      </w:r>
    </w:p>
    <w:p w14:paraId="5D46BBE7" w14:textId="77777777" w:rsidR="00612C2D" w:rsidRDefault="00612C2D" w:rsidP="00051667">
      <w:pPr>
        <w:spacing w:after="0" w:line="276" w:lineRule="auto"/>
        <w:jc w:val="both"/>
        <w:rPr>
          <w:rFonts w:ascii="Times New Roman" w:hAnsi="Times New Roman" w:cs="Times New Roman"/>
          <w:noProof/>
        </w:rPr>
      </w:pPr>
    </w:p>
    <w:p w14:paraId="1B5679E5" w14:textId="4A0FDAB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Neni 18  rregullon paketën e plotë të dokumentacionit që subjekti duhet të paraqesë për t’u autorizuar, duke përfshirë programin e veprimtarisë, opinionin ligjor mbi klasifikimin dhe masat e menaxhimit të rrezikut. </w:t>
      </w:r>
    </w:p>
    <w:p w14:paraId="5F3F3E59" w14:textId="77777777" w:rsidR="00612C2D" w:rsidRDefault="00612C2D" w:rsidP="00051667">
      <w:pPr>
        <w:spacing w:after="0" w:line="276" w:lineRule="auto"/>
        <w:jc w:val="both"/>
        <w:rPr>
          <w:rFonts w:ascii="Times New Roman" w:hAnsi="Times New Roman" w:cs="Times New Roman"/>
          <w:noProof/>
        </w:rPr>
      </w:pPr>
    </w:p>
    <w:p w14:paraId="5F8F0102" w14:textId="59063C2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19 parashikon p</w:t>
      </w:r>
      <w:r w:rsidR="00665016" w:rsidRPr="00051667">
        <w:rPr>
          <w:rFonts w:ascii="Times New Roman" w:hAnsi="Times New Roman" w:cs="Times New Roman"/>
          <w:noProof/>
        </w:rPr>
        <w:t>ë</w:t>
      </w:r>
      <w:r w:rsidRPr="00051667">
        <w:rPr>
          <w:rFonts w:ascii="Times New Roman" w:hAnsi="Times New Roman" w:cs="Times New Roman"/>
          <w:noProof/>
        </w:rPr>
        <w:t xml:space="preserve">rmbajtjen </w:t>
      </w:r>
      <w:r w:rsidR="00A91044" w:rsidRPr="00051667">
        <w:rPr>
          <w:rFonts w:ascii="Times New Roman" w:hAnsi="Times New Roman" w:cs="Times New Roman"/>
          <w:noProof/>
        </w:rPr>
        <w:t>e</w:t>
      </w:r>
      <w:r w:rsidRPr="00051667">
        <w:rPr>
          <w:rFonts w:ascii="Times New Roman" w:hAnsi="Times New Roman" w:cs="Times New Roman"/>
          <w:noProof/>
        </w:rPr>
        <w:t xml:space="preserve"> dokumentit informues për tokenat e asetit dhe standardet n</w:t>
      </w:r>
      <w:r w:rsidR="00665016" w:rsidRPr="00051667">
        <w:rPr>
          <w:rFonts w:ascii="Times New Roman" w:hAnsi="Times New Roman" w:cs="Times New Roman"/>
          <w:noProof/>
        </w:rPr>
        <w:t>ë</w:t>
      </w:r>
      <w:r w:rsidRPr="00051667">
        <w:rPr>
          <w:rFonts w:ascii="Times New Roman" w:hAnsi="Times New Roman" w:cs="Times New Roman"/>
          <w:noProof/>
        </w:rPr>
        <w:t xml:space="preserve"> lidhje me qartësinë, saktësinë dhe plotësinë e informacionit që u ofrohet blerësve. </w:t>
      </w:r>
    </w:p>
    <w:p w14:paraId="127AC3C8" w14:textId="77777777" w:rsidR="00612C2D" w:rsidRDefault="00612C2D" w:rsidP="00051667">
      <w:pPr>
        <w:spacing w:after="0" w:line="276" w:lineRule="auto"/>
        <w:jc w:val="both"/>
        <w:rPr>
          <w:rFonts w:ascii="Times New Roman" w:hAnsi="Times New Roman" w:cs="Times New Roman"/>
          <w:noProof/>
        </w:rPr>
      </w:pPr>
    </w:p>
    <w:p w14:paraId="0C269A1F" w14:textId="1847B86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20 parashikon procedurat e shqyrtimit t</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rkes</w:t>
      </w:r>
      <w:r w:rsidR="00665016" w:rsidRPr="00051667">
        <w:rPr>
          <w:rFonts w:ascii="Times New Roman" w:hAnsi="Times New Roman" w:cs="Times New Roman"/>
          <w:noProof/>
        </w:rPr>
        <w:t>ë</w:t>
      </w:r>
      <w:r w:rsidRPr="00051667">
        <w:rPr>
          <w:rFonts w:ascii="Times New Roman" w:hAnsi="Times New Roman" w:cs="Times New Roman"/>
          <w:noProof/>
        </w:rPr>
        <w:t>s p</w:t>
      </w:r>
      <w:r w:rsidR="00665016" w:rsidRPr="00051667">
        <w:rPr>
          <w:rFonts w:ascii="Times New Roman" w:hAnsi="Times New Roman" w:cs="Times New Roman"/>
          <w:noProof/>
        </w:rPr>
        <w:t>ë</w:t>
      </w:r>
      <w:r w:rsidRPr="00051667">
        <w:rPr>
          <w:rFonts w:ascii="Times New Roman" w:hAnsi="Times New Roman" w:cs="Times New Roman"/>
          <w:noProof/>
        </w:rPr>
        <w:t>r autorizim nga Banka 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xml:space="preserve"> brenda nj</w:t>
      </w:r>
      <w:r w:rsidR="00665016" w:rsidRPr="00051667">
        <w:rPr>
          <w:rFonts w:ascii="Times New Roman" w:hAnsi="Times New Roman" w:cs="Times New Roman"/>
          <w:noProof/>
        </w:rPr>
        <w:t>ë</w:t>
      </w:r>
      <w:r w:rsidRPr="00051667">
        <w:rPr>
          <w:rFonts w:ascii="Times New Roman" w:hAnsi="Times New Roman" w:cs="Times New Roman"/>
          <w:noProof/>
        </w:rPr>
        <w:t xml:space="preserve"> afati 60-ditor nga marrja e dokumentacionit t</w:t>
      </w:r>
      <w:r w:rsidR="00665016" w:rsidRPr="00051667">
        <w:rPr>
          <w:rFonts w:ascii="Times New Roman" w:hAnsi="Times New Roman" w:cs="Times New Roman"/>
          <w:noProof/>
        </w:rPr>
        <w:t>ë</w:t>
      </w:r>
      <w:r w:rsidRPr="00051667">
        <w:rPr>
          <w:rFonts w:ascii="Times New Roman" w:hAnsi="Times New Roman" w:cs="Times New Roman"/>
          <w:noProof/>
        </w:rPr>
        <w:t xml:space="preserve"> plot</w:t>
      </w:r>
      <w:r w:rsidR="00665016" w:rsidRPr="00051667">
        <w:rPr>
          <w:rFonts w:ascii="Times New Roman" w:hAnsi="Times New Roman" w:cs="Times New Roman"/>
          <w:noProof/>
        </w:rPr>
        <w:t>ë</w:t>
      </w:r>
      <w:r w:rsidRPr="00051667">
        <w:rPr>
          <w:rFonts w:ascii="Times New Roman" w:hAnsi="Times New Roman" w:cs="Times New Roman"/>
          <w:noProof/>
        </w:rPr>
        <w:t xml:space="preserve">. </w:t>
      </w:r>
    </w:p>
    <w:p w14:paraId="6F1B908A" w14:textId="77777777" w:rsidR="00612C2D" w:rsidRDefault="00612C2D" w:rsidP="00051667">
      <w:pPr>
        <w:spacing w:after="0" w:line="276" w:lineRule="auto"/>
        <w:jc w:val="both"/>
        <w:rPr>
          <w:rFonts w:ascii="Times New Roman" w:hAnsi="Times New Roman" w:cs="Times New Roman"/>
          <w:noProof/>
        </w:rPr>
      </w:pPr>
    </w:p>
    <w:p w14:paraId="3FF35C6C" w14:textId="0AB57A25"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21 rregullon marrjen e vendimit të autorizimit nga Banka 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xml:space="preserve"> duke p</w:t>
      </w:r>
      <w:r w:rsidR="00665016" w:rsidRPr="00051667">
        <w:rPr>
          <w:rFonts w:ascii="Times New Roman" w:hAnsi="Times New Roman" w:cs="Times New Roman"/>
          <w:noProof/>
        </w:rPr>
        <w:t>ë</w:t>
      </w:r>
      <w:r w:rsidRPr="00051667">
        <w:rPr>
          <w:rFonts w:ascii="Times New Roman" w:hAnsi="Times New Roman" w:cs="Times New Roman"/>
          <w:noProof/>
        </w:rPr>
        <w:t>rcaktuar kushtet n</w:t>
      </w:r>
      <w:r w:rsidR="00665016" w:rsidRPr="00051667">
        <w:rPr>
          <w:rFonts w:ascii="Times New Roman" w:hAnsi="Times New Roman" w:cs="Times New Roman"/>
          <w:noProof/>
        </w:rPr>
        <w:t>ë</w:t>
      </w:r>
      <w:r w:rsidRPr="00051667">
        <w:rPr>
          <w:rFonts w:ascii="Times New Roman" w:hAnsi="Times New Roman" w:cs="Times New Roman"/>
          <w:noProof/>
        </w:rPr>
        <w:t xml:space="preserve"> t</w:t>
      </w:r>
      <w:r w:rsidR="00665016" w:rsidRPr="00051667">
        <w:rPr>
          <w:rFonts w:ascii="Times New Roman" w:hAnsi="Times New Roman" w:cs="Times New Roman"/>
          <w:noProof/>
        </w:rPr>
        <w:t>ë</w:t>
      </w:r>
      <w:r w:rsidRPr="00051667">
        <w:rPr>
          <w:rFonts w:ascii="Times New Roman" w:hAnsi="Times New Roman" w:cs="Times New Roman"/>
          <w:noProof/>
        </w:rPr>
        <w:t xml:space="preserve"> cilat refuzohet autorizimi si  psh. kur ka probleme të rënda të përshtatshmërisë të organit drejtues ose aksionerëve me pjesëmarrje influencuese, mos-përmbushje të kërkesave të </w:t>
      </w:r>
      <w:r w:rsidRPr="00051667">
        <w:rPr>
          <w:rFonts w:ascii="Times New Roman" w:hAnsi="Times New Roman" w:cs="Times New Roman"/>
          <w:noProof/>
        </w:rPr>
        <w:lastRenderedPageBreak/>
        <w:t>kreut, ose kur modeli i biznesit rrezikon integritetin e tregut, stabilitetin financiar, funksionimin e pagesave apo ngre rreziqe serioze në kuadër të pastrimit t</w:t>
      </w:r>
      <w:r w:rsidR="00665016" w:rsidRPr="00051667">
        <w:rPr>
          <w:rFonts w:ascii="Times New Roman" w:hAnsi="Times New Roman" w:cs="Times New Roman"/>
          <w:noProof/>
        </w:rPr>
        <w:t>ë</w:t>
      </w:r>
      <w:r w:rsidRPr="00051667">
        <w:rPr>
          <w:rFonts w:ascii="Times New Roman" w:hAnsi="Times New Roman" w:cs="Times New Roman"/>
          <w:noProof/>
        </w:rPr>
        <w:t xml:space="preserve"> parave dhe financimit t</w:t>
      </w:r>
      <w:r w:rsidR="00665016" w:rsidRPr="00051667">
        <w:rPr>
          <w:rFonts w:ascii="Times New Roman" w:hAnsi="Times New Roman" w:cs="Times New Roman"/>
          <w:noProof/>
        </w:rPr>
        <w:t>ë</w:t>
      </w:r>
      <w:r w:rsidRPr="00051667">
        <w:rPr>
          <w:rFonts w:ascii="Times New Roman" w:hAnsi="Times New Roman" w:cs="Times New Roman"/>
          <w:noProof/>
        </w:rPr>
        <w:t xml:space="preserve"> terrorizimit.</w:t>
      </w:r>
    </w:p>
    <w:p w14:paraId="7B6BC301" w14:textId="77777777" w:rsidR="00612C2D" w:rsidRDefault="00612C2D" w:rsidP="00051667">
      <w:pPr>
        <w:spacing w:after="0" w:line="276" w:lineRule="auto"/>
        <w:jc w:val="both"/>
        <w:rPr>
          <w:rFonts w:ascii="Times New Roman" w:hAnsi="Times New Roman" w:cs="Times New Roman"/>
          <w:noProof/>
        </w:rPr>
      </w:pPr>
    </w:p>
    <w:p w14:paraId="762D67CF" w14:textId="0F84F9B1"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22 vendos detyrimin p</w:t>
      </w:r>
      <w:r w:rsidR="00665016" w:rsidRPr="00051667">
        <w:rPr>
          <w:rFonts w:ascii="Times New Roman" w:hAnsi="Times New Roman" w:cs="Times New Roman"/>
          <w:noProof/>
        </w:rPr>
        <w:t>ë</w:t>
      </w:r>
      <w:r w:rsidRPr="00051667">
        <w:rPr>
          <w:rFonts w:ascii="Times New Roman" w:hAnsi="Times New Roman" w:cs="Times New Roman"/>
          <w:noProof/>
        </w:rPr>
        <w:t>r raportime periodik</w:t>
      </w:r>
      <w:r w:rsidR="00A91044" w:rsidRPr="00051667">
        <w:rPr>
          <w:rFonts w:ascii="Times New Roman" w:hAnsi="Times New Roman" w:cs="Times New Roman"/>
          <w:noProof/>
        </w:rPr>
        <w:t>e</w:t>
      </w:r>
      <w:r w:rsidRPr="00051667">
        <w:rPr>
          <w:rFonts w:ascii="Times New Roman" w:hAnsi="Times New Roman" w:cs="Times New Roman"/>
          <w:noProof/>
        </w:rPr>
        <w:t xml:space="preserve"> tek Banka e Shqipërisë për tokenat me vlerë emetimi mbi pragun e përcaktuar, si dhe detyrime bashkëpunimi nga ofruesit e shërbimeve për të dhënat e nevojshme. </w:t>
      </w:r>
    </w:p>
    <w:p w14:paraId="55266099" w14:textId="77777777" w:rsidR="00612C2D" w:rsidRDefault="00612C2D" w:rsidP="00051667">
      <w:pPr>
        <w:spacing w:after="0" w:line="276" w:lineRule="auto"/>
        <w:jc w:val="both"/>
        <w:rPr>
          <w:rFonts w:ascii="Times New Roman" w:hAnsi="Times New Roman" w:cs="Times New Roman"/>
          <w:noProof/>
        </w:rPr>
      </w:pPr>
    </w:p>
    <w:p w14:paraId="46F46277" w14:textId="7024F70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Neni 23 parashikon detyrime informimi shtesë dhe transparencë pas autorizimit, përfshirë raportimin e përdorimit si mjet këmbimi. </w:t>
      </w:r>
    </w:p>
    <w:p w14:paraId="189615AA" w14:textId="77777777" w:rsidR="00612C2D" w:rsidRDefault="00612C2D" w:rsidP="00051667">
      <w:pPr>
        <w:spacing w:after="0" w:line="276" w:lineRule="auto"/>
        <w:jc w:val="both"/>
        <w:rPr>
          <w:rFonts w:ascii="Times New Roman" w:hAnsi="Times New Roman" w:cs="Times New Roman"/>
          <w:noProof/>
        </w:rPr>
      </w:pPr>
    </w:p>
    <w:p w14:paraId="28724939" w14:textId="3C54B44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24 p</w:t>
      </w:r>
      <w:r w:rsidR="00665016" w:rsidRPr="00051667">
        <w:rPr>
          <w:rFonts w:ascii="Times New Roman" w:hAnsi="Times New Roman" w:cs="Times New Roman"/>
          <w:noProof/>
        </w:rPr>
        <w:t>ë</w:t>
      </w:r>
      <w:r w:rsidRPr="00051667">
        <w:rPr>
          <w:rFonts w:ascii="Times New Roman" w:hAnsi="Times New Roman" w:cs="Times New Roman"/>
          <w:noProof/>
        </w:rPr>
        <w:t>rcakton rastet e revokimit t</w:t>
      </w:r>
      <w:r w:rsidR="00665016" w:rsidRPr="00051667">
        <w:rPr>
          <w:rFonts w:ascii="Times New Roman" w:hAnsi="Times New Roman" w:cs="Times New Roman"/>
          <w:noProof/>
        </w:rPr>
        <w:t>ë</w:t>
      </w:r>
      <w:r w:rsidRPr="00051667">
        <w:rPr>
          <w:rFonts w:ascii="Times New Roman" w:hAnsi="Times New Roman" w:cs="Times New Roman"/>
          <w:noProof/>
        </w:rPr>
        <w:t xml:space="preserve"> autorizimit p</w:t>
      </w:r>
      <w:r w:rsidR="00665016" w:rsidRPr="00051667">
        <w:rPr>
          <w:rFonts w:ascii="Times New Roman" w:hAnsi="Times New Roman" w:cs="Times New Roman"/>
          <w:noProof/>
        </w:rPr>
        <w:t>ë</w:t>
      </w:r>
      <w:r w:rsidRPr="00051667">
        <w:rPr>
          <w:rFonts w:ascii="Times New Roman" w:hAnsi="Times New Roman" w:cs="Times New Roman"/>
          <w:noProof/>
        </w:rPr>
        <w:t>r tokenin e asetit, t</w:t>
      </w:r>
      <w:r w:rsidR="00665016" w:rsidRPr="00051667">
        <w:rPr>
          <w:rFonts w:ascii="Times New Roman" w:hAnsi="Times New Roman" w:cs="Times New Roman"/>
          <w:noProof/>
        </w:rPr>
        <w:t>ë</w:t>
      </w:r>
      <w:r w:rsidRPr="00051667">
        <w:rPr>
          <w:rFonts w:ascii="Times New Roman" w:hAnsi="Times New Roman" w:cs="Times New Roman"/>
          <w:noProof/>
        </w:rPr>
        <w:t xml:space="preserve"> tilla si ndalimi </w:t>
      </w:r>
      <w:r w:rsidR="00A91044" w:rsidRPr="00051667">
        <w:rPr>
          <w:rFonts w:ascii="Times New Roman" w:hAnsi="Times New Roman" w:cs="Times New Roman"/>
          <w:noProof/>
        </w:rPr>
        <w:t>i</w:t>
      </w:r>
      <w:r w:rsidRPr="00051667">
        <w:rPr>
          <w:rFonts w:ascii="Times New Roman" w:hAnsi="Times New Roman" w:cs="Times New Roman"/>
          <w:noProof/>
        </w:rPr>
        <w:t xml:space="preserve"> ushtrimit t</w:t>
      </w:r>
      <w:r w:rsidR="00665016" w:rsidRPr="00051667">
        <w:rPr>
          <w:rFonts w:ascii="Times New Roman" w:hAnsi="Times New Roman" w:cs="Times New Roman"/>
          <w:noProof/>
        </w:rPr>
        <w:t>ë</w:t>
      </w:r>
      <w:r w:rsidRPr="00051667">
        <w:rPr>
          <w:rFonts w:ascii="Times New Roman" w:hAnsi="Times New Roman" w:cs="Times New Roman"/>
          <w:noProof/>
        </w:rPr>
        <w:t xml:space="preserve"> veprimtaris</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 m</w:t>
      </w:r>
      <w:r w:rsidR="00665016" w:rsidRPr="00051667">
        <w:rPr>
          <w:rFonts w:ascii="Times New Roman" w:hAnsi="Times New Roman" w:cs="Times New Roman"/>
          <w:noProof/>
        </w:rPr>
        <w:t>ë</w:t>
      </w:r>
      <w:r w:rsidRPr="00051667">
        <w:rPr>
          <w:rFonts w:ascii="Times New Roman" w:hAnsi="Times New Roman" w:cs="Times New Roman"/>
          <w:noProof/>
        </w:rPr>
        <w:t xml:space="preserve"> shum</w:t>
      </w:r>
      <w:r w:rsidR="00665016" w:rsidRPr="00051667">
        <w:rPr>
          <w:rFonts w:ascii="Times New Roman" w:hAnsi="Times New Roman" w:cs="Times New Roman"/>
          <w:noProof/>
        </w:rPr>
        <w:t>ë</w:t>
      </w:r>
      <w:r w:rsidRPr="00051667">
        <w:rPr>
          <w:rFonts w:ascii="Times New Roman" w:hAnsi="Times New Roman" w:cs="Times New Roman"/>
          <w:noProof/>
        </w:rPr>
        <w:t xml:space="preserve"> se 6 muaj, paraqitja e rreziqeve serioze lidhur me  integritetin e tregut, stabilitetin financiar, funksionimin e sistemit të pagesave, ose pastrimit të parave dhe financimit të terrorizmit.</w:t>
      </w:r>
    </w:p>
    <w:p w14:paraId="6BEAC395" w14:textId="77777777" w:rsidR="00612C2D" w:rsidRDefault="00612C2D" w:rsidP="00051667">
      <w:pPr>
        <w:spacing w:after="0" w:line="276" w:lineRule="auto"/>
        <w:jc w:val="both"/>
        <w:rPr>
          <w:rFonts w:ascii="Times New Roman" w:hAnsi="Times New Roman" w:cs="Times New Roman"/>
          <w:noProof/>
        </w:rPr>
      </w:pPr>
    </w:p>
    <w:p w14:paraId="327D09CA" w14:textId="50C9E1D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25 parashikon procedurat p</w:t>
      </w:r>
      <w:r w:rsidR="00665016" w:rsidRPr="00051667">
        <w:rPr>
          <w:rFonts w:ascii="Times New Roman" w:hAnsi="Times New Roman" w:cs="Times New Roman"/>
          <w:noProof/>
        </w:rPr>
        <w:t>ë</w:t>
      </w:r>
      <w:r w:rsidRPr="00051667">
        <w:rPr>
          <w:rFonts w:ascii="Times New Roman" w:hAnsi="Times New Roman" w:cs="Times New Roman"/>
          <w:noProof/>
        </w:rPr>
        <w:t>r ndryshimet e dokumentit informues dhe modelit të biznesit pas autor</w:t>
      </w:r>
      <w:r w:rsidR="00A91044" w:rsidRPr="00051667">
        <w:rPr>
          <w:rFonts w:ascii="Times New Roman" w:hAnsi="Times New Roman" w:cs="Times New Roman"/>
          <w:noProof/>
        </w:rPr>
        <w:t>i</w:t>
      </w:r>
      <w:r w:rsidRPr="00051667">
        <w:rPr>
          <w:rFonts w:ascii="Times New Roman" w:hAnsi="Times New Roman" w:cs="Times New Roman"/>
          <w:noProof/>
        </w:rPr>
        <w:t>zimit, publikimin e ndryshimeve dhe reflektimin e tyre n</w:t>
      </w:r>
      <w:r w:rsidR="00665016" w:rsidRPr="00051667">
        <w:rPr>
          <w:rFonts w:ascii="Times New Roman" w:hAnsi="Times New Roman" w:cs="Times New Roman"/>
          <w:noProof/>
        </w:rPr>
        <w:t>ë</w:t>
      </w:r>
      <w:r w:rsidRPr="00051667">
        <w:rPr>
          <w:rFonts w:ascii="Times New Roman" w:hAnsi="Times New Roman" w:cs="Times New Roman"/>
          <w:noProof/>
        </w:rPr>
        <w:t xml:space="preserve"> regjistrat p</w:t>
      </w:r>
      <w:r w:rsidR="00665016" w:rsidRPr="00051667">
        <w:rPr>
          <w:rFonts w:ascii="Times New Roman" w:hAnsi="Times New Roman" w:cs="Times New Roman"/>
          <w:noProof/>
        </w:rPr>
        <w:t>ë</w:t>
      </w:r>
      <w:r w:rsidRPr="00051667">
        <w:rPr>
          <w:rFonts w:ascii="Times New Roman" w:hAnsi="Times New Roman" w:cs="Times New Roman"/>
          <w:noProof/>
        </w:rPr>
        <w:t>rkat</w:t>
      </w:r>
      <w:r w:rsidR="00665016" w:rsidRPr="00051667">
        <w:rPr>
          <w:rFonts w:ascii="Times New Roman" w:hAnsi="Times New Roman" w:cs="Times New Roman"/>
          <w:noProof/>
        </w:rPr>
        <w:t>ë</w:t>
      </w:r>
      <w:r w:rsidRPr="00051667">
        <w:rPr>
          <w:rFonts w:ascii="Times New Roman" w:hAnsi="Times New Roman" w:cs="Times New Roman"/>
          <w:noProof/>
        </w:rPr>
        <w:t xml:space="preserve">s. </w:t>
      </w:r>
    </w:p>
    <w:p w14:paraId="3ECB37F9" w14:textId="77777777" w:rsidR="00612C2D" w:rsidRDefault="00612C2D" w:rsidP="00051667">
      <w:pPr>
        <w:spacing w:after="0" w:line="276" w:lineRule="auto"/>
        <w:jc w:val="both"/>
        <w:rPr>
          <w:rFonts w:ascii="Times New Roman" w:hAnsi="Times New Roman" w:cs="Times New Roman"/>
          <w:noProof/>
        </w:rPr>
      </w:pPr>
    </w:p>
    <w:p w14:paraId="0989E323" w14:textId="285E255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Nenet 26–28 përqendrohen tek përgjegjësia e emetuesit për informacionin e publikuar në dokumentin informues, detyrimet p</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vepruar me nd</w:t>
      </w:r>
      <w:r w:rsidR="00665016" w:rsidRPr="00051667">
        <w:rPr>
          <w:rFonts w:ascii="Times New Roman" w:hAnsi="Times New Roman" w:cs="Times New Roman"/>
          <w:noProof/>
        </w:rPr>
        <w:t>ë</w:t>
      </w:r>
      <w:r w:rsidRPr="00051667">
        <w:rPr>
          <w:rFonts w:ascii="Times New Roman" w:hAnsi="Times New Roman" w:cs="Times New Roman"/>
          <w:noProof/>
        </w:rPr>
        <w:t>rshm</w:t>
      </w:r>
      <w:r w:rsidR="00665016" w:rsidRPr="00051667">
        <w:rPr>
          <w:rFonts w:ascii="Times New Roman" w:hAnsi="Times New Roman" w:cs="Times New Roman"/>
          <w:noProof/>
        </w:rPr>
        <w:t>ë</w:t>
      </w:r>
      <w:r w:rsidRPr="00051667">
        <w:rPr>
          <w:rFonts w:ascii="Times New Roman" w:hAnsi="Times New Roman" w:cs="Times New Roman"/>
          <w:noProof/>
        </w:rPr>
        <w:t>ri dhe n</w:t>
      </w:r>
      <w:r w:rsidR="00665016" w:rsidRPr="00051667">
        <w:rPr>
          <w:rFonts w:ascii="Times New Roman" w:hAnsi="Times New Roman" w:cs="Times New Roman"/>
          <w:noProof/>
        </w:rPr>
        <w:t>ë</w:t>
      </w:r>
      <w:r w:rsidRPr="00051667">
        <w:rPr>
          <w:rFonts w:ascii="Times New Roman" w:hAnsi="Times New Roman" w:cs="Times New Roman"/>
          <w:noProof/>
        </w:rPr>
        <w:t xml:space="preserve"> interesin m</w:t>
      </w:r>
      <w:r w:rsidR="00665016" w:rsidRPr="00051667">
        <w:rPr>
          <w:rFonts w:ascii="Times New Roman" w:hAnsi="Times New Roman" w:cs="Times New Roman"/>
          <w:noProof/>
        </w:rPr>
        <w:t>ë</w:t>
      </w:r>
      <w:r w:rsidRPr="00051667">
        <w:rPr>
          <w:rFonts w:ascii="Times New Roman" w:hAnsi="Times New Roman" w:cs="Times New Roman"/>
          <w:noProof/>
        </w:rPr>
        <w:t xml:space="preserve"> t</w:t>
      </w:r>
      <w:r w:rsidR="00665016" w:rsidRPr="00051667">
        <w:rPr>
          <w:rFonts w:ascii="Times New Roman" w:hAnsi="Times New Roman" w:cs="Times New Roman"/>
          <w:noProof/>
        </w:rPr>
        <w:t>ë</w:t>
      </w:r>
      <w:r w:rsidRPr="00051667">
        <w:rPr>
          <w:rFonts w:ascii="Times New Roman" w:hAnsi="Times New Roman" w:cs="Times New Roman"/>
          <w:noProof/>
        </w:rPr>
        <w:t xml:space="preserve"> mir</w:t>
      </w:r>
      <w:r w:rsidR="00665016" w:rsidRPr="00051667">
        <w:rPr>
          <w:rFonts w:ascii="Times New Roman" w:hAnsi="Times New Roman" w:cs="Times New Roman"/>
          <w:noProof/>
        </w:rPr>
        <w:t>ë</w:t>
      </w:r>
      <w:r w:rsidRPr="00051667">
        <w:rPr>
          <w:rFonts w:ascii="Times New Roman" w:hAnsi="Times New Roman" w:cs="Times New Roman"/>
          <w:noProof/>
        </w:rPr>
        <w:t xml:space="preserve"> t</w:t>
      </w:r>
      <w:r w:rsidR="00665016" w:rsidRPr="00051667">
        <w:rPr>
          <w:rFonts w:ascii="Times New Roman" w:hAnsi="Times New Roman" w:cs="Times New Roman"/>
          <w:noProof/>
        </w:rPr>
        <w:t>ë</w:t>
      </w:r>
      <w:r w:rsidRPr="00051667">
        <w:rPr>
          <w:rFonts w:ascii="Times New Roman" w:hAnsi="Times New Roman" w:cs="Times New Roman"/>
          <w:noProof/>
        </w:rPr>
        <w:t xml:space="preserve"> klient</w:t>
      </w:r>
      <w:r w:rsidR="00665016" w:rsidRPr="00051667">
        <w:rPr>
          <w:rFonts w:ascii="Times New Roman" w:hAnsi="Times New Roman" w:cs="Times New Roman"/>
          <w:noProof/>
        </w:rPr>
        <w:t>ë</w:t>
      </w:r>
      <w:r w:rsidRPr="00051667">
        <w:rPr>
          <w:rFonts w:ascii="Times New Roman" w:hAnsi="Times New Roman" w:cs="Times New Roman"/>
          <w:noProof/>
        </w:rPr>
        <w:t xml:space="preserve">ve,  rregullat e përditësimit dhe te mospërputhjet që mund të çojnë në masa mbikëqyrëse, përfshirë revokim të autorizimit në raste të rënda. </w:t>
      </w:r>
    </w:p>
    <w:p w14:paraId="4B5AD5EE" w14:textId="77777777" w:rsidR="00612C2D" w:rsidRDefault="00612C2D" w:rsidP="00051667">
      <w:pPr>
        <w:spacing w:after="0" w:line="276" w:lineRule="auto"/>
        <w:jc w:val="both"/>
        <w:rPr>
          <w:rFonts w:ascii="Times New Roman" w:hAnsi="Times New Roman" w:cs="Times New Roman"/>
          <w:noProof/>
        </w:rPr>
      </w:pPr>
    </w:p>
    <w:p w14:paraId="09DB587D" w14:textId="152F1C3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29 vendos një regjim të qartë për trajtimin e ankesave, duke i detyruar emetuesit e tokenit të asetit të mbajnë politika dhe procedura funksionale që garantojnë kanale komunikimi të aksesueshme pa kosto, afate të arsyeshme përgjigjeje dhe evidencë të plotë të çdo ankese, me detyrimin për të informuar autoritetin përgjegjës kur kërkohet dhe për të përdorur feedback-un e ankesave për përmirësim të vazhdueshëm të shërbimit.</w:t>
      </w:r>
    </w:p>
    <w:p w14:paraId="53CE6D8D" w14:textId="77777777" w:rsidR="00612C2D" w:rsidRDefault="00612C2D" w:rsidP="00051667">
      <w:pPr>
        <w:spacing w:after="0" w:line="276" w:lineRule="auto"/>
        <w:jc w:val="both"/>
        <w:rPr>
          <w:rFonts w:ascii="Times New Roman" w:hAnsi="Times New Roman" w:cs="Times New Roman"/>
          <w:noProof/>
        </w:rPr>
      </w:pPr>
    </w:p>
    <w:p w14:paraId="3EDE624E" w14:textId="76CDE4C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30 përqendrohet te informimi i rregullt i mbajtësve t</w:t>
      </w:r>
      <w:r w:rsidR="00665016" w:rsidRPr="00051667">
        <w:rPr>
          <w:rFonts w:ascii="Times New Roman" w:hAnsi="Times New Roman" w:cs="Times New Roman"/>
          <w:noProof/>
        </w:rPr>
        <w:t>ë</w:t>
      </w:r>
      <w:r w:rsidRPr="00051667">
        <w:rPr>
          <w:rFonts w:ascii="Times New Roman" w:hAnsi="Times New Roman" w:cs="Times New Roman"/>
          <w:noProof/>
        </w:rPr>
        <w:t xml:space="preserve"> tokenave, duke kërkuar që emetuesi të komunikojë në mënyrë të qartë dhe në kohë të dhëna mbi rezervën e aseteve, likuiditetin, ndërprerjet operacionale, ndryshimet materiale dhe çdo ngjarje që mund të ndikojë te vlera ose përdorshmëria e tokenit të asetit, me publikim në ndërfaqen online dhe njoftime të drejtpërdrejta kur rreziqet janë të menjëhershme.</w:t>
      </w:r>
    </w:p>
    <w:p w14:paraId="06BA8C8F" w14:textId="77777777" w:rsidR="00612C2D" w:rsidRDefault="00612C2D" w:rsidP="00051667">
      <w:pPr>
        <w:spacing w:after="0" w:line="276" w:lineRule="auto"/>
        <w:jc w:val="both"/>
        <w:rPr>
          <w:rFonts w:ascii="Times New Roman" w:hAnsi="Times New Roman" w:cs="Times New Roman"/>
          <w:noProof/>
        </w:rPr>
      </w:pPr>
    </w:p>
    <w:p w14:paraId="746E300A" w14:textId="314D8A2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31 përcakton detyrimet p</w:t>
      </w:r>
      <w:r w:rsidR="00665016" w:rsidRPr="00051667">
        <w:rPr>
          <w:rFonts w:ascii="Times New Roman" w:hAnsi="Times New Roman" w:cs="Times New Roman"/>
          <w:noProof/>
        </w:rPr>
        <w:t>ë</w:t>
      </w:r>
      <w:r w:rsidRPr="00051667">
        <w:rPr>
          <w:rFonts w:ascii="Times New Roman" w:hAnsi="Times New Roman" w:cs="Times New Roman"/>
          <w:noProof/>
        </w:rPr>
        <w:t>r informim t</w:t>
      </w:r>
      <w:r w:rsidR="00665016" w:rsidRPr="00051667">
        <w:rPr>
          <w:rFonts w:ascii="Times New Roman" w:hAnsi="Times New Roman" w:cs="Times New Roman"/>
          <w:noProof/>
        </w:rPr>
        <w:t>ë</w:t>
      </w:r>
      <w:r w:rsidRPr="00051667">
        <w:rPr>
          <w:rFonts w:ascii="Times New Roman" w:hAnsi="Times New Roman" w:cs="Times New Roman"/>
          <w:noProof/>
        </w:rPr>
        <w:t xml:space="preserve"> vazhdueshëm ndaj zot</w:t>
      </w:r>
      <w:r w:rsidR="00665016" w:rsidRPr="00051667">
        <w:rPr>
          <w:rFonts w:ascii="Times New Roman" w:hAnsi="Times New Roman" w:cs="Times New Roman"/>
          <w:noProof/>
        </w:rPr>
        <w:t>ë</w:t>
      </w:r>
      <w:r w:rsidRPr="00051667">
        <w:rPr>
          <w:rFonts w:ascii="Times New Roman" w:hAnsi="Times New Roman" w:cs="Times New Roman"/>
          <w:noProof/>
        </w:rPr>
        <w:t>ruesve t</w:t>
      </w:r>
      <w:r w:rsidR="00665016" w:rsidRPr="00051667">
        <w:rPr>
          <w:rFonts w:ascii="Times New Roman" w:hAnsi="Times New Roman" w:cs="Times New Roman"/>
          <w:noProof/>
        </w:rPr>
        <w:t>ë</w:t>
      </w:r>
      <w:r w:rsidRPr="00051667">
        <w:rPr>
          <w:rFonts w:ascii="Times New Roman" w:hAnsi="Times New Roman" w:cs="Times New Roman"/>
          <w:noProof/>
        </w:rPr>
        <w:t xml:space="preserve"> tokenave t</w:t>
      </w:r>
      <w:r w:rsidR="00665016" w:rsidRPr="00051667">
        <w:rPr>
          <w:rFonts w:ascii="Times New Roman" w:hAnsi="Times New Roman" w:cs="Times New Roman"/>
          <w:noProof/>
        </w:rPr>
        <w:t>ë</w:t>
      </w:r>
      <w:r w:rsidRPr="00051667">
        <w:rPr>
          <w:rFonts w:ascii="Times New Roman" w:hAnsi="Times New Roman" w:cs="Times New Roman"/>
          <w:noProof/>
        </w:rPr>
        <w:t xml:space="preserve"> asetit dhe Bank</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duke i detyruar emetuesit e tokenit të asetit të publikojnë n</w:t>
      </w:r>
      <w:r w:rsidR="00665016" w:rsidRPr="00051667">
        <w:rPr>
          <w:rFonts w:ascii="Times New Roman" w:hAnsi="Times New Roman" w:cs="Times New Roman"/>
          <w:noProof/>
        </w:rPr>
        <w:t>ë</w:t>
      </w:r>
      <w:r w:rsidRPr="00051667">
        <w:rPr>
          <w:rFonts w:ascii="Times New Roman" w:hAnsi="Times New Roman" w:cs="Times New Roman"/>
          <w:noProof/>
        </w:rPr>
        <w:t xml:space="preserve"> m</w:t>
      </w:r>
      <w:r w:rsidR="00665016" w:rsidRPr="00051667">
        <w:rPr>
          <w:rFonts w:ascii="Times New Roman" w:hAnsi="Times New Roman" w:cs="Times New Roman"/>
          <w:noProof/>
        </w:rPr>
        <w:t>ë</w:t>
      </w:r>
      <w:r w:rsidRPr="00051667">
        <w:rPr>
          <w:rFonts w:ascii="Times New Roman" w:hAnsi="Times New Roman" w:cs="Times New Roman"/>
          <w:noProof/>
        </w:rPr>
        <w:t>nyr</w:t>
      </w:r>
      <w:r w:rsidR="00665016" w:rsidRPr="00051667">
        <w:rPr>
          <w:rFonts w:ascii="Times New Roman" w:hAnsi="Times New Roman" w:cs="Times New Roman"/>
          <w:noProof/>
        </w:rPr>
        <w:t>ë</w:t>
      </w:r>
      <w:r w:rsidRPr="00051667">
        <w:rPr>
          <w:rFonts w:ascii="Times New Roman" w:hAnsi="Times New Roman" w:cs="Times New Roman"/>
          <w:noProof/>
        </w:rPr>
        <w:t xml:space="preserve"> periodike, t</w:t>
      </w:r>
      <w:r w:rsidR="00665016" w:rsidRPr="00051667">
        <w:rPr>
          <w:rFonts w:ascii="Times New Roman" w:hAnsi="Times New Roman" w:cs="Times New Roman"/>
          <w:noProof/>
        </w:rPr>
        <w:t>ë</w:t>
      </w:r>
      <w:r w:rsidRPr="00051667">
        <w:rPr>
          <w:rFonts w:ascii="Times New Roman" w:hAnsi="Times New Roman" w:cs="Times New Roman"/>
          <w:noProof/>
        </w:rPr>
        <w:t xml:space="preserve"> pakt</w:t>
      </w:r>
      <w:r w:rsidR="00665016" w:rsidRPr="00051667">
        <w:rPr>
          <w:rFonts w:ascii="Times New Roman" w:hAnsi="Times New Roman" w:cs="Times New Roman"/>
          <w:noProof/>
        </w:rPr>
        <w:t>ë</w:t>
      </w:r>
      <w:r w:rsidRPr="00051667">
        <w:rPr>
          <w:rFonts w:ascii="Times New Roman" w:hAnsi="Times New Roman" w:cs="Times New Roman"/>
          <w:noProof/>
        </w:rPr>
        <w:t>n nj</w:t>
      </w:r>
      <w:r w:rsidR="00665016" w:rsidRPr="00051667">
        <w:rPr>
          <w:rFonts w:ascii="Times New Roman" w:hAnsi="Times New Roman" w:cs="Times New Roman"/>
          <w:noProof/>
        </w:rPr>
        <w:t>ë</w:t>
      </w:r>
      <w:r w:rsidRPr="00051667">
        <w:rPr>
          <w:rFonts w:ascii="Times New Roman" w:hAnsi="Times New Roman" w:cs="Times New Roman"/>
          <w:noProof/>
        </w:rPr>
        <w:t xml:space="preserve"> her</w:t>
      </w:r>
      <w:r w:rsidR="00665016" w:rsidRPr="00051667">
        <w:rPr>
          <w:rFonts w:ascii="Times New Roman" w:hAnsi="Times New Roman" w:cs="Times New Roman"/>
          <w:noProof/>
        </w:rPr>
        <w:t>ë</w:t>
      </w:r>
      <w:r w:rsidRPr="00051667">
        <w:rPr>
          <w:rFonts w:ascii="Times New Roman" w:hAnsi="Times New Roman" w:cs="Times New Roman"/>
          <w:noProof/>
        </w:rPr>
        <w:t xml:space="preserve"> n</w:t>
      </w:r>
      <w:r w:rsidR="00665016" w:rsidRPr="00051667">
        <w:rPr>
          <w:rFonts w:ascii="Times New Roman" w:hAnsi="Times New Roman" w:cs="Times New Roman"/>
          <w:noProof/>
        </w:rPr>
        <w:t>ë</w:t>
      </w:r>
      <w:r w:rsidRPr="00051667">
        <w:rPr>
          <w:rFonts w:ascii="Times New Roman" w:hAnsi="Times New Roman" w:cs="Times New Roman"/>
          <w:noProof/>
        </w:rPr>
        <w:t xml:space="preserve"> muaj,</w:t>
      </w:r>
      <w:r w:rsidR="00A91044" w:rsidRPr="00051667">
        <w:rPr>
          <w:rFonts w:ascii="Times New Roman" w:hAnsi="Times New Roman" w:cs="Times New Roman"/>
          <w:noProof/>
        </w:rPr>
        <w:t xml:space="preserve"> </w:t>
      </w:r>
      <w:r w:rsidRPr="00051667">
        <w:rPr>
          <w:rFonts w:ascii="Times New Roman" w:hAnsi="Times New Roman" w:cs="Times New Roman"/>
          <w:noProof/>
        </w:rPr>
        <w:t>të dhëna mbi funksionimin, gjendjen e rezervës, ngjarjet thelb</w:t>
      </w:r>
      <w:r w:rsidR="00665016" w:rsidRPr="00051667">
        <w:rPr>
          <w:rFonts w:ascii="Times New Roman" w:hAnsi="Times New Roman" w:cs="Times New Roman"/>
          <w:noProof/>
        </w:rPr>
        <w:t>ë</w:t>
      </w:r>
      <w:r w:rsidRPr="00051667">
        <w:rPr>
          <w:rFonts w:ascii="Times New Roman" w:hAnsi="Times New Roman" w:cs="Times New Roman"/>
          <w:noProof/>
        </w:rPr>
        <w:t>sore dhe çdo zhvillim që mund të ndikojë tek vlera ose përdorueshmëria e tokenit.</w:t>
      </w:r>
    </w:p>
    <w:p w14:paraId="7E344525" w14:textId="77777777" w:rsidR="00612C2D" w:rsidRDefault="00612C2D" w:rsidP="00051667">
      <w:pPr>
        <w:spacing w:after="0" w:line="276" w:lineRule="auto"/>
        <w:jc w:val="both"/>
        <w:rPr>
          <w:rFonts w:ascii="Times New Roman" w:hAnsi="Times New Roman" w:cs="Times New Roman"/>
          <w:noProof/>
        </w:rPr>
      </w:pPr>
    </w:p>
    <w:p w14:paraId="4235E38C" w14:textId="3DAF03D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32 p</w:t>
      </w:r>
      <w:r w:rsidR="00665016" w:rsidRPr="00051667">
        <w:rPr>
          <w:rFonts w:ascii="Times New Roman" w:hAnsi="Times New Roman" w:cs="Times New Roman"/>
          <w:noProof/>
        </w:rPr>
        <w:t>ë</w:t>
      </w:r>
      <w:r w:rsidRPr="00051667">
        <w:rPr>
          <w:rFonts w:ascii="Times New Roman" w:hAnsi="Times New Roman" w:cs="Times New Roman"/>
          <w:noProof/>
        </w:rPr>
        <w:t>rcakton detyrimin e emetuesve t</w:t>
      </w:r>
      <w:r w:rsidR="00665016" w:rsidRPr="00051667">
        <w:rPr>
          <w:rFonts w:ascii="Times New Roman" w:hAnsi="Times New Roman" w:cs="Times New Roman"/>
          <w:noProof/>
        </w:rPr>
        <w:t>ë</w:t>
      </w:r>
      <w:r w:rsidRPr="00051667">
        <w:rPr>
          <w:rFonts w:ascii="Times New Roman" w:hAnsi="Times New Roman" w:cs="Times New Roman"/>
          <w:noProof/>
        </w:rPr>
        <w:t xml:space="preserve"> tokenave të asetit q</w:t>
      </w:r>
      <w:r w:rsidR="00665016" w:rsidRPr="00051667">
        <w:rPr>
          <w:rFonts w:ascii="Times New Roman" w:hAnsi="Times New Roman" w:cs="Times New Roman"/>
          <w:noProof/>
        </w:rPr>
        <w:t>ë</w:t>
      </w:r>
      <w:r w:rsidRPr="00051667">
        <w:rPr>
          <w:rFonts w:ascii="Times New Roman" w:hAnsi="Times New Roman" w:cs="Times New Roman"/>
          <w:noProof/>
        </w:rPr>
        <w:t xml:space="preserve"> të kenë politika e procedura efektive për identifikimin, parandalimin, menaxhimin dhe zbulimin e konflikteve të interesit me aksionarët ose anëtarët (përfshirë ato me pjesëmarrje influencuese), organin drejtues, punonjësit, zotëruesit e tokenave dhe palët e treta, me theks të veçantë tek menaxhimi dhe investimi i rezervës sipas Nenit 36.</w:t>
      </w:r>
    </w:p>
    <w:p w14:paraId="590F483E" w14:textId="77777777" w:rsidR="00612C2D" w:rsidRDefault="00612C2D" w:rsidP="00051667">
      <w:pPr>
        <w:spacing w:after="0" w:line="276" w:lineRule="auto"/>
        <w:jc w:val="both"/>
        <w:rPr>
          <w:rFonts w:ascii="Times New Roman" w:hAnsi="Times New Roman" w:cs="Times New Roman"/>
          <w:noProof/>
        </w:rPr>
      </w:pPr>
    </w:p>
    <w:p w14:paraId="28674BB3" w14:textId="364D930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33 detyron emetuesit e tokenave të asetit të njoftojnë menjëherë Bank</w:t>
      </w:r>
      <w:r w:rsidR="00665016" w:rsidRPr="00051667">
        <w:rPr>
          <w:rFonts w:ascii="Times New Roman" w:hAnsi="Times New Roman" w:cs="Times New Roman"/>
          <w:noProof/>
        </w:rPr>
        <w:t>ë</w:t>
      </w:r>
      <w:r w:rsidRPr="00051667">
        <w:rPr>
          <w:rFonts w:ascii="Times New Roman" w:hAnsi="Times New Roman" w:cs="Times New Roman"/>
          <w:noProof/>
        </w:rPr>
        <w:t>n 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xml:space="preserve"> për çdo ndryshim në organin drejtues dhe t’i paraqesin të gjithë informacionin e nevojshëm për vlerësimin e përputhshmërisë me kërkesat e nenit 34, pika 2.</w:t>
      </w:r>
    </w:p>
    <w:p w14:paraId="282F82C3" w14:textId="77777777" w:rsidR="00612C2D" w:rsidRDefault="00612C2D" w:rsidP="00051667">
      <w:pPr>
        <w:spacing w:after="0" w:line="276" w:lineRule="auto"/>
        <w:jc w:val="both"/>
        <w:rPr>
          <w:rFonts w:ascii="Times New Roman" w:hAnsi="Times New Roman" w:cs="Times New Roman"/>
          <w:noProof/>
        </w:rPr>
      </w:pPr>
    </w:p>
    <w:p w14:paraId="1DCFE3B4" w14:textId="3A53494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Neni 34 përshkruan hollësisht strukturat e qeverisjes, politikat/procedurat dhe mekanizmat e vazhdimësisë së biznesit, duke i bërë ato kusht të autorizimit dhe ushtrimit të veprimtarisë. </w:t>
      </w:r>
    </w:p>
    <w:p w14:paraId="4B5F236B" w14:textId="7777777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35 rregullon fondet e veta të emetuesit të tokenit të asetit, duke përcaktuar detyrimin për të mbajtur në çdo kohë një nivel të mjaftueshëm kapitali rregullator, rregullat e llogaritjes dhe përbërjes së tij, si edhe mbikëqyrjen e vazhdueshme prudenciale nga Banka e Shqipërisë.</w:t>
      </w:r>
    </w:p>
    <w:p w14:paraId="52E4891A" w14:textId="77777777" w:rsidR="00612C2D" w:rsidRDefault="00612C2D" w:rsidP="00051667">
      <w:pPr>
        <w:spacing w:after="0" w:line="276" w:lineRule="auto"/>
        <w:jc w:val="both"/>
        <w:rPr>
          <w:rFonts w:ascii="Times New Roman" w:hAnsi="Times New Roman" w:cs="Times New Roman"/>
          <w:noProof/>
        </w:rPr>
      </w:pPr>
    </w:p>
    <w:p w14:paraId="1BDE8E19" w14:textId="41B8356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36 përcakton detyrimin për një rezervë asetesh të veçuar ligjërisht dhe operacionalisht, të menaxhuar përmes politikave të stabilizimit t</w:t>
      </w:r>
      <w:r w:rsidR="00665016" w:rsidRPr="00051667">
        <w:rPr>
          <w:rFonts w:ascii="Times New Roman" w:hAnsi="Times New Roman" w:cs="Times New Roman"/>
          <w:noProof/>
        </w:rPr>
        <w:t>ë</w:t>
      </w:r>
      <w:r w:rsidRPr="00051667">
        <w:rPr>
          <w:rFonts w:ascii="Times New Roman" w:hAnsi="Times New Roman" w:cs="Times New Roman"/>
          <w:noProof/>
        </w:rPr>
        <w:t xml:space="preserve"> vler</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tokenit, vlerësuar me mark-to-market (ose mark-to-model</w:t>
      </w:r>
      <w:r w:rsidR="00A91044" w:rsidRPr="00051667">
        <w:rPr>
          <w:rFonts w:ascii="Times New Roman" w:hAnsi="Times New Roman" w:cs="Times New Roman"/>
          <w:noProof/>
        </w:rPr>
        <w:t>)</w:t>
      </w:r>
      <w:r w:rsidRPr="00051667">
        <w:rPr>
          <w:rFonts w:ascii="Times New Roman" w:hAnsi="Times New Roman" w:cs="Times New Roman"/>
          <w:noProof/>
        </w:rPr>
        <w:t>, 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w:t>
      </w:r>
      <w:r w:rsidR="00665016" w:rsidRPr="00051667">
        <w:rPr>
          <w:rFonts w:ascii="Times New Roman" w:hAnsi="Times New Roman" w:cs="Times New Roman"/>
          <w:noProof/>
        </w:rPr>
        <w:t>ë</w:t>
      </w:r>
      <w:r w:rsidRPr="00051667">
        <w:rPr>
          <w:rFonts w:ascii="Times New Roman" w:hAnsi="Times New Roman" w:cs="Times New Roman"/>
          <w:noProof/>
        </w:rPr>
        <w:t>sht</w:t>
      </w:r>
      <w:r w:rsidR="00665016" w:rsidRPr="00051667">
        <w:rPr>
          <w:rFonts w:ascii="Times New Roman" w:hAnsi="Times New Roman" w:cs="Times New Roman"/>
          <w:noProof/>
        </w:rPr>
        <w:t>ë</w:t>
      </w:r>
      <w:r w:rsidRPr="00051667">
        <w:rPr>
          <w:rFonts w:ascii="Times New Roman" w:hAnsi="Times New Roman" w:cs="Times New Roman"/>
          <w:noProof/>
        </w:rPr>
        <w:t xml:space="preserve"> e nevojshme</w:t>
      </w:r>
    </w:p>
    <w:p w14:paraId="74633BEF" w14:textId="77777777" w:rsidR="00612C2D" w:rsidRDefault="00612C2D" w:rsidP="00051667">
      <w:pPr>
        <w:spacing w:after="0" w:line="276" w:lineRule="auto"/>
        <w:jc w:val="both"/>
        <w:rPr>
          <w:rFonts w:ascii="Times New Roman" w:hAnsi="Times New Roman" w:cs="Times New Roman"/>
          <w:noProof/>
        </w:rPr>
      </w:pPr>
    </w:p>
    <w:p w14:paraId="073E7DB9" w14:textId="246C937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37 rregullon kujdestarinë e rezervës s</w:t>
      </w:r>
      <w:r w:rsidR="00665016" w:rsidRPr="00051667">
        <w:rPr>
          <w:rFonts w:ascii="Times New Roman" w:hAnsi="Times New Roman" w:cs="Times New Roman"/>
          <w:noProof/>
        </w:rPr>
        <w:t>ë</w:t>
      </w:r>
      <w:r w:rsidRPr="00051667">
        <w:rPr>
          <w:rFonts w:ascii="Times New Roman" w:hAnsi="Times New Roman" w:cs="Times New Roman"/>
          <w:noProof/>
        </w:rPr>
        <w:t xml:space="preserve"> aseteve përmes politikave, procedurave dhe kontratave që sigurojnë veçim t</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saj rezerve, qasje të shpejtë, shmangie përqendrimi dhe vigjilencë të duhur ndaj kujdestarëve  ofrues t</w:t>
      </w:r>
      <w:r w:rsidR="00665016" w:rsidRPr="00051667">
        <w:rPr>
          <w:rFonts w:ascii="Times New Roman" w:hAnsi="Times New Roman" w:cs="Times New Roman"/>
          <w:noProof/>
        </w:rPr>
        <w:t>ë</w:t>
      </w:r>
      <w:r w:rsidRPr="00051667">
        <w:rPr>
          <w:rFonts w:ascii="Times New Roman" w:hAnsi="Times New Roman" w:cs="Times New Roman"/>
          <w:noProof/>
        </w:rPr>
        <w:t xml:space="preserv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kujdestaris</w:t>
      </w:r>
      <w:r w:rsidR="00665016" w:rsidRPr="00051667">
        <w:rPr>
          <w:rFonts w:ascii="Times New Roman" w:hAnsi="Times New Roman" w:cs="Times New Roman"/>
          <w:noProof/>
        </w:rPr>
        <w:t>ë</w:t>
      </w:r>
      <w:r w:rsidRPr="00051667">
        <w:rPr>
          <w:rFonts w:ascii="Times New Roman" w:hAnsi="Times New Roman" w:cs="Times New Roman"/>
          <w:noProof/>
        </w:rPr>
        <w:t xml:space="preserve"> , ose institucione krediti, ose shoqëri komisionere. </w:t>
      </w:r>
    </w:p>
    <w:p w14:paraId="65537230" w14:textId="77777777" w:rsidR="00612C2D" w:rsidRDefault="00612C2D" w:rsidP="00051667">
      <w:pPr>
        <w:spacing w:after="0" w:line="276" w:lineRule="auto"/>
        <w:jc w:val="both"/>
        <w:rPr>
          <w:rFonts w:ascii="Times New Roman" w:hAnsi="Times New Roman" w:cs="Times New Roman"/>
          <w:noProof/>
        </w:rPr>
      </w:pPr>
    </w:p>
    <w:p w14:paraId="0369DCBB" w14:textId="1DFF46F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38 lejon investimin e një pjese të rezervës vetëm në instrumente me likuiditet të lartë e rrezik minimal (përfshirë njësi SIKTT sipas kushteve), t</w:t>
      </w:r>
      <w:r w:rsidR="00665016" w:rsidRPr="00051667">
        <w:rPr>
          <w:rFonts w:ascii="Times New Roman" w:hAnsi="Times New Roman" w:cs="Times New Roman"/>
          <w:noProof/>
        </w:rPr>
        <w:t>ë</w:t>
      </w:r>
      <w:r w:rsidRPr="00051667">
        <w:rPr>
          <w:rFonts w:ascii="Times New Roman" w:hAnsi="Times New Roman" w:cs="Times New Roman"/>
          <w:noProof/>
        </w:rPr>
        <w:t xml:space="preserve"> mbajtur n</w:t>
      </w:r>
      <w:r w:rsidR="00665016" w:rsidRPr="00051667">
        <w:rPr>
          <w:rFonts w:ascii="Times New Roman" w:hAnsi="Times New Roman" w:cs="Times New Roman"/>
          <w:noProof/>
        </w:rPr>
        <w:t>ë</w:t>
      </w:r>
      <w:r w:rsidRPr="00051667">
        <w:rPr>
          <w:rFonts w:ascii="Times New Roman" w:hAnsi="Times New Roman" w:cs="Times New Roman"/>
          <w:noProof/>
        </w:rPr>
        <w:t xml:space="preserve"> kujdestari sipas kushteve t</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rcaktuara n</w:t>
      </w:r>
      <w:r w:rsidR="00665016" w:rsidRPr="00051667">
        <w:rPr>
          <w:rFonts w:ascii="Times New Roman" w:hAnsi="Times New Roman" w:cs="Times New Roman"/>
          <w:noProof/>
        </w:rPr>
        <w:t>ë</w:t>
      </w:r>
      <w:r w:rsidRPr="00051667">
        <w:rPr>
          <w:rFonts w:ascii="Times New Roman" w:hAnsi="Times New Roman" w:cs="Times New Roman"/>
          <w:noProof/>
        </w:rPr>
        <w:t xml:space="preserve"> nenin 37 dhe duke i ngarkuar p</w:t>
      </w:r>
      <w:r w:rsidR="00665016" w:rsidRPr="00051667">
        <w:rPr>
          <w:rFonts w:ascii="Times New Roman" w:hAnsi="Times New Roman" w:cs="Times New Roman"/>
          <w:noProof/>
        </w:rPr>
        <w:t>ë</w:t>
      </w:r>
      <w:r w:rsidRPr="00051667">
        <w:rPr>
          <w:rFonts w:ascii="Times New Roman" w:hAnsi="Times New Roman" w:cs="Times New Roman"/>
          <w:noProof/>
        </w:rPr>
        <w:t>rgjegj</w:t>
      </w:r>
      <w:r w:rsidR="00665016" w:rsidRPr="00051667">
        <w:rPr>
          <w:rFonts w:ascii="Times New Roman" w:hAnsi="Times New Roman" w:cs="Times New Roman"/>
          <w:noProof/>
        </w:rPr>
        <w:t>ë</w:t>
      </w:r>
      <w:r w:rsidRPr="00051667">
        <w:rPr>
          <w:rFonts w:ascii="Times New Roman" w:hAnsi="Times New Roman" w:cs="Times New Roman"/>
          <w:noProof/>
        </w:rPr>
        <w:t>si emetuesit për të gjitha fitimet/humbjet dhe rreziqet e investimit.</w:t>
      </w:r>
    </w:p>
    <w:p w14:paraId="22AD1699" w14:textId="77777777" w:rsidR="00612C2D" w:rsidRDefault="00612C2D" w:rsidP="00051667">
      <w:pPr>
        <w:spacing w:after="0" w:line="276" w:lineRule="auto"/>
        <w:jc w:val="both"/>
        <w:rPr>
          <w:rFonts w:ascii="Times New Roman" w:hAnsi="Times New Roman" w:cs="Times New Roman"/>
          <w:noProof/>
        </w:rPr>
      </w:pPr>
    </w:p>
    <w:p w14:paraId="0F45A018" w14:textId="4D50753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39 garanton të drejtën e përhershme të shlyerjes në çdo kohë dhe pa pages</w:t>
      </w:r>
      <w:r w:rsidR="00665016" w:rsidRPr="00051667">
        <w:rPr>
          <w:rFonts w:ascii="Times New Roman" w:hAnsi="Times New Roman" w:cs="Times New Roman"/>
          <w:noProof/>
        </w:rPr>
        <w:t>ë</w:t>
      </w:r>
      <w:r w:rsidRPr="00051667">
        <w:rPr>
          <w:rFonts w:ascii="Times New Roman" w:hAnsi="Times New Roman" w:cs="Times New Roman"/>
          <w:noProof/>
        </w:rPr>
        <w:t>, në fonde,  ose p</w:t>
      </w:r>
      <w:r w:rsidR="00665016" w:rsidRPr="00051667">
        <w:rPr>
          <w:rFonts w:ascii="Times New Roman" w:hAnsi="Times New Roman" w:cs="Times New Roman"/>
          <w:noProof/>
        </w:rPr>
        <w:t>ë</w:t>
      </w:r>
      <w:r w:rsidRPr="00051667">
        <w:rPr>
          <w:rFonts w:ascii="Times New Roman" w:hAnsi="Times New Roman" w:cs="Times New Roman"/>
          <w:noProof/>
        </w:rPr>
        <w:t xml:space="preserve">rmes dorëzimit të aseteve të referuara nga tokeni </w:t>
      </w:r>
      <w:r w:rsidR="00A91044" w:rsidRPr="00051667">
        <w:rPr>
          <w:rFonts w:ascii="Times New Roman" w:hAnsi="Times New Roman" w:cs="Times New Roman"/>
          <w:noProof/>
        </w:rPr>
        <w:t>i</w:t>
      </w:r>
      <w:r w:rsidRPr="00051667">
        <w:rPr>
          <w:rFonts w:ascii="Times New Roman" w:hAnsi="Times New Roman" w:cs="Times New Roman"/>
          <w:noProof/>
        </w:rPr>
        <w:t xml:space="preserve"> asetit, n</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rputhje me politikat e shlyerjes t</w:t>
      </w:r>
      <w:r w:rsidR="00665016" w:rsidRPr="00051667">
        <w:rPr>
          <w:rFonts w:ascii="Times New Roman" w:hAnsi="Times New Roman" w:cs="Times New Roman"/>
          <w:noProof/>
        </w:rPr>
        <w:t>ë</w:t>
      </w:r>
      <w:r w:rsidRPr="00051667">
        <w:rPr>
          <w:rFonts w:ascii="Times New Roman" w:hAnsi="Times New Roman" w:cs="Times New Roman"/>
          <w:noProof/>
        </w:rPr>
        <w:t xml:space="preserve"> cilat përcaktojnë kushtet, afatet, mekanizmat e vlerësimit dhe menaxhimin e lëvizjeve të rezervës s</w:t>
      </w:r>
      <w:r w:rsidR="00665016" w:rsidRPr="00051667">
        <w:rPr>
          <w:rFonts w:ascii="Times New Roman" w:hAnsi="Times New Roman" w:cs="Times New Roman"/>
          <w:noProof/>
        </w:rPr>
        <w:t>ë</w:t>
      </w:r>
      <w:r w:rsidRPr="00051667">
        <w:rPr>
          <w:rFonts w:ascii="Times New Roman" w:hAnsi="Times New Roman" w:cs="Times New Roman"/>
          <w:noProof/>
        </w:rPr>
        <w:t xml:space="preserve"> aseteve. </w:t>
      </w:r>
    </w:p>
    <w:p w14:paraId="2E97ADC9" w14:textId="77777777" w:rsidR="00612C2D" w:rsidRDefault="00612C2D" w:rsidP="00051667">
      <w:pPr>
        <w:spacing w:after="0" w:line="276" w:lineRule="auto"/>
        <w:jc w:val="both"/>
        <w:rPr>
          <w:rFonts w:ascii="Times New Roman" w:hAnsi="Times New Roman" w:cs="Times New Roman"/>
          <w:noProof/>
        </w:rPr>
      </w:pPr>
    </w:p>
    <w:p w14:paraId="7D1B67FF" w14:textId="6548A2B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40 ndalon dhënien e interesit nga emetuesit dhe ofruesit e shërbimeve, duke përfshirë si “interes” çdo shpërblim të lidhur me kohëzgjatjen zot</w:t>
      </w:r>
      <w:r w:rsidR="00665016" w:rsidRPr="00051667">
        <w:rPr>
          <w:rFonts w:ascii="Times New Roman" w:hAnsi="Times New Roman" w:cs="Times New Roman"/>
          <w:noProof/>
        </w:rPr>
        <w:t>ë</w:t>
      </w:r>
      <w:r w:rsidRPr="00051667">
        <w:rPr>
          <w:rFonts w:ascii="Times New Roman" w:hAnsi="Times New Roman" w:cs="Times New Roman"/>
          <w:noProof/>
        </w:rPr>
        <w:t>rimit t</w:t>
      </w:r>
      <w:r w:rsidR="00665016" w:rsidRPr="00051667">
        <w:rPr>
          <w:rFonts w:ascii="Times New Roman" w:hAnsi="Times New Roman" w:cs="Times New Roman"/>
          <w:noProof/>
        </w:rPr>
        <w:t>ë</w:t>
      </w:r>
      <w:r w:rsidRPr="00051667">
        <w:rPr>
          <w:rFonts w:ascii="Times New Roman" w:hAnsi="Times New Roman" w:cs="Times New Roman"/>
          <w:noProof/>
        </w:rPr>
        <w:t xml:space="preserve"> tokenit t</w:t>
      </w:r>
      <w:r w:rsidR="00665016" w:rsidRPr="00051667">
        <w:rPr>
          <w:rFonts w:ascii="Times New Roman" w:hAnsi="Times New Roman" w:cs="Times New Roman"/>
          <w:noProof/>
        </w:rPr>
        <w:t>ë</w:t>
      </w:r>
      <w:r w:rsidRPr="00051667">
        <w:rPr>
          <w:rFonts w:ascii="Times New Roman" w:hAnsi="Times New Roman" w:cs="Times New Roman"/>
          <w:noProof/>
        </w:rPr>
        <w:t xml:space="preserve"> aseteve, edhe 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jepet përmes zbritjeve ose produkteve të tjera me efekt të barazvlefshëm.</w:t>
      </w:r>
    </w:p>
    <w:p w14:paraId="7BD468D3" w14:textId="77777777" w:rsidR="00612C2D" w:rsidRDefault="00612C2D" w:rsidP="00051667">
      <w:pPr>
        <w:spacing w:after="0" w:line="276" w:lineRule="auto"/>
        <w:jc w:val="both"/>
        <w:rPr>
          <w:rFonts w:ascii="Times New Roman" w:hAnsi="Times New Roman" w:cs="Times New Roman"/>
          <w:noProof/>
        </w:rPr>
      </w:pPr>
    </w:p>
    <w:p w14:paraId="1F719315" w14:textId="0BF2C74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41 përcakton procedurën e njoftimit dhe vlerësimit të marrjes n</w:t>
      </w:r>
      <w:r w:rsidR="00665016" w:rsidRPr="00051667">
        <w:rPr>
          <w:rFonts w:ascii="Times New Roman" w:hAnsi="Times New Roman" w:cs="Times New Roman"/>
          <w:noProof/>
        </w:rPr>
        <w:t>ë</w:t>
      </w:r>
      <w:r w:rsidRPr="00051667">
        <w:rPr>
          <w:rFonts w:ascii="Times New Roman" w:hAnsi="Times New Roman" w:cs="Times New Roman"/>
          <w:noProof/>
        </w:rPr>
        <w:t>n kontroll (përfshirë kalimin e pragjeve 10%, 20%, 30%, 50% ose shnd</w:t>
      </w:r>
      <w:r w:rsidR="00665016" w:rsidRPr="00051667">
        <w:rPr>
          <w:rFonts w:ascii="Times New Roman" w:hAnsi="Times New Roman" w:cs="Times New Roman"/>
          <w:noProof/>
        </w:rPr>
        <w:t>ë</w:t>
      </w:r>
      <w:r w:rsidRPr="00051667">
        <w:rPr>
          <w:rFonts w:ascii="Times New Roman" w:hAnsi="Times New Roman" w:cs="Times New Roman"/>
          <w:noProof/>
        </w:rPr>
        <w:t>rrimin n</w:t>
      </w:r>
      <w:r w:rsidR="00665016" w:rsidRPr="00051667">
        <w:rPr>
          <w:rFonts w:ascii="Times New Roman" w:hAnsi="Times New Roman" w:cs="Times New Roman"/>
          <w:noProof/>
        </w:rPr>
        <w:t>ë</w:t>
      </w:r>
      <w:r w:rsidRPr="00051667">
        <w:rPr>
          <w:rFonts w:ascii="Times New Roman" w:hAnsi="Times New Roman" w:cs="Times New Roman"/>
          <w:noProof/>
        </w:rPr>
        <w:t xml:space="preserve"> shoq</w:t>
      </w:r>
      <w:r w:rsidR="00665016" w:rsidRPr="00051667">
        <w:rPr>
          <w:rFonts w:ascii="Times New Roman" w:hAnsi="Times New Roman" w:cs="Times New Roman"/>
          <w:noProof/>
        </w:rPr>
        <w:t>ë</w:t>
      </w:r>
      <w:r w:rsidRPr="00051667">
        <w:rPr>
          <w:rFonts w:ascii="Times New Roman" w:hAnsi="Times New Roman" w:cs="Times New Roman"/>
          <w:noProof/>
        </w:rPr>
        <w:t>ri bij</w:t>
      </w:r>
      <w:r w:rsidR="00665016" w:rsidRPr="00051667">
        <w:rPr>
          <w:rFonts w:ascii="Times New Roman" w:hAnsi="Times New Roman" w:cs="Times New Roman"/>
          <w:noProof/>
        </w:rPr>
        <w:t>ë</w:t>
      </w:r>
      <w:r w:rsidRPr="00051667">
        <w:rPr>
          <w:rFonts w:ascii="Times New Roman" w:hAnsi="Times New Roman" w:cs="Times New Roman"/>
          <w:noProof/>
        </w:rPr>
        <w:t>), e cila p</w:t>
      </w:r>
      <w:r w:rsidR="00665016" w:rsidRPr="00051667">
        <w:rPr>
          <w:rFonts w:ascii="Times New Roman" w:hAnsi="Times New Roman" w:cs="Times New Roman"/>
          <w:noProof/>
        </w:rPr>
        <w:t>ë</w:t>
      </w:r>
      <w:r w:rsidRPr="00051667">
        <w:rPr>
          <w:rFonts w:ascii="Times New Roman" w:hAnsi="Times New Roman" w:cs="Times New Roman"/>
          <w:noProof/>
        </w:rPr>
        <w:t>rfshin njoftim paraprak me shkrim, afat vlerësimi 60-ditor nga ana e Bank</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xml:space="preserve"> dhe në mungesë kundërshtimi brenda afatit, miratim i heshtur.</w:t>
      </w:r>
    </w:p>
    <w:p w14:paraId="3D2B084F" w14:textId="77777777" w:rsidR="00612C2D" w:rsidRDefault="00612C2D" w:rsidP="00051667">
      <w:pPr>
        <w:spacing w:after="0" w:line="276" w:lineRule="auto"/>
        <w:jc w:val="both"/>
        <w:rPr>
          <w:rFonts w:ascii="Times New Roman" w:hAnsi="Times New Roman" w:cs="Times New Roman"/>
          <w:noProof/>
        </w:rPr>
      </w:pPr>
    </w:p>
    <w:p w14:paraId="63244067" w14:textId="1EC66C0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42 përcakton përmbajtjen e vlerësimit e cila p</w:t>
      </w:r>
      <w:r w:rsidR="00665016" w:rsidRPr="00051667">
        <w:rPr>
          <w:rFonts w:ascii="Times New Roman" w:hAnsi="Times New Roman" w:cs="Times New Roman"/>
          <w:noProof/>
        </w:rPr>
        <w:t>ë</w:t>
      </w:r>
      <w:r w:rsidRPr="00051667">
        <w:rPr>
          <w:rFonts w:ascii="Times New Roman" w:hAnsi="Times New Roman" w:cs="Times New Roman"/>
          <w:noProof/>
        </w:rPr>
        <w:t>rfshin reputacioni</w:t>
      </w:r>
      <w:r w:rsidR="00A91044" w:rsidRPr="00051667">
        <w:rPr>
          <w:rFonts w:ascii="Times New Roman" w:hAnsi="Times New Roman" w:cs="Times New Roman"/>
          <w:noProof/>
        </w:rPr>
        <w:t>n</w:t>
      </w:r>
      <w:r w:rsidRPr="00051667">
        <w:rPr>
          <w:rFonts w:ascii="Times New Roman" w:hAnsi="Times New Roman" w:cs="Times New Roman"/>
          <w:noProof/>
        </w:rPr>
        <w:t xml:space="preserve"> e marr</w:t>
      </w:r>
      <w:r w:rsidR="00665016" w:rsidRPr="00051667">
        <w:rPr>
          <w:rFonts w:ascii="Times New Roman" w:hAnsi="Times New Roman" w:cs="Times New Roman"/>
          <w:noProof/>
        </w:rPr>
        <w:t>ë</w:t>
      </w:r>
      <w:r w:rsidRPr="00051667">
        <w:rPr>
          <w:rFonts w:ascii="Times New Roman" w:hAnsi="Times New Roman" w:cs="Times New Roman"/>
          <w:noProof/>
        </w:rPr>
        <w:t>sit n</w:t>
      </w:r>
      <w:r w:rsidR="00665016" w:rsidRPr="00051667">
        <w:rPr>
          <w:rFonts w:ascii="Times New Roman" w:hAnsi="Times New Roman" w:cs="Times New Roman"/>
          <w:noProof/>
        </w:rPr>
        <w:t>ë</w:t>
      </w:r>
      <w:r w:rsidRPr="00051667">
        <w:rPr>
          <w:rFonts w:ascii="Times New Roman" w:hAnsi="Times New Roman" w:cs="Times New Roman"/>
          <w:noProof/>
        </w:rPr>
        <w:t>n kontroll, cilësitë dhe reputacioni</w:t>
      </w:r>
      <w:r w:rsidR="00A91044" w:rsidRPr="00051667">
        <w:rPr>
          <w:rFonts w:ascii="Times New Roman" w:hAnsi="Times New Roman" w:cs="Times New Roman"/>
          <w:noProof/>
        </w:rPr>
        <w:t xml:space="preserve">n e </w:t>
      </w:r>
      <w:r w:rsidRPr="00051667">
        <w:rPr>
          <w:rFonts w:ascii="Times New Roman" w:hAnsi="Times New Roman" w:cs="Times New Roman"/>
          <w:noProof/>
        </w:rPr>
        <w:t>drejtuesve të ardhshëm, qëndrueshmëri</w:t>
      </w:r>
      <w:r w:rsidR="00A91044" w:rsidRPr="00051667">
        <w:rPr>
          <w:rFonts w:ascii="Times New Roman" w:hAnsi="Times New Roman" w:cs="Times New Roman"/>
          <w:noProof/>
        </w:rPr>
        <w:t>në</w:t>
      </w:r>
      <w:r w:rsidRPr="00051667">
        <w:rPr>
          <w:rFonts w:ascii="Times New Roman" w:hAnsi="Times New Roman" w:cs="Times New Roman"/>
          <w:noProof/>
        </w:rPr>
        <w:t xml:space="preserve"> financiare, aftësi</w:t>
      </w:r>
      <w:r w:rsidR="00A91044" w:rsidRPr="00051667">
        <w:rPr>
          <w:rFonts w:ascii="Times New Roman" w:hAnsi="Times New Roman" w:cs="Times New Roman"/>
          <w:noProof/>
        </w:rPr>
        <w:t>në</w:t>
      </w:r>
      <w:r w:rsidRPr="00051667">
        <w:rPr>
          <w:rFonts w:ascii="Times New Roman" w:hAnsi="Times New Roman" w:cs="Times New Roman"/>
          <w:noProof/>
        </w:rPr>
        <w:t xml:space="preserve"> e emetuesit për të përmbushur detyrimet e p</w:t>
      </w:r>
      <w:r w:rsidR="00665016" w:rsidRPr="00051667">
        <w:rPr>
          <w:rFonts w:ascii="Times New Roman" w:hAnsi="Times New Roman" w:cs="Times New Roman"/>
          <w:noProof/>
        </w:rPr>
        <w:t>ë</w:t>
      </w:r>
      <w:r w:rsidRPr="00051667">
        <w:rPr>
          <w:rFonts w:ascii="Times New Roman" w:hAnsi="Times New Roman" w:cs="Times New Roman"/>
          <w:noProof/>
        </w:rPr>
        <w:t>rcaktuara n</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t</w:t>
      </w:r>
      <w:r w:rsidR="00665016" w:rsidRPr="00051667">
        <w:rPr>
          <w:rFonts w:ascii="Times New Roman" w:hAnsi="Times New Roman" w:cs="Times New Roman"/>
          <w:noProof/>
        </w:rPr>
        <w:t>ë</w:t>
      </w:r>
      <w:r w:rsidRPr="00051667">
        <w:rPr>
          <w:rFonts w:ascii="Times New Roman" w:hAnsi="Times New Roman" w:cs="Times New Roman"/>
          <w:noProof/>
        </w:rPr>
        <w:t xml:space="preserve"> projektligj si dhe rreziqet n</w:t>
      </w:r>
      <w:r w:rsidR="00665016" w:rsidRPr="00051667">
        <w:rPr>
          <w:rFonts w:ascii="Times New Roman" w:hAnsi="Times New Roman" w:cs="Times New Roman"/>
          <w:noProof/>
        </w:rPr>
        <w:t>ë</w:t>
      </w:r>
      <w:r w:rsidRPr="00051667">
        <w:rPr>
          <w:rFonts w:ascii="Times New Roman" w:hAnsi="Times New Roman" w:cs="Times New Roman"/>
          <w:noProof/>
        </w:rPr>
        <w:t xml:space="preserve"> kuad</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parandalimit t</w:t>
      </w:r>
      <w:r w:rsidR="00665016" w:rsidRPr="00051667">
        <w:rPr>
          <w:rFonts w:ascii="Times New Roman" w:hAnsi="Times New Roman" w:cs="Times New Roman"/>
          <w:noProof/>
        </w:rPr>
        <w:t>ë</w:t>
      </w:r>
      <w:r w:rsidRPr="00051667">
        <w:rPr>
          <w:rFonts w:ascii="Times New Roman" w:hAnsi="Times New Roman" w:cs="Times New Roman"/>
          <w:noProof/>
        </w:rPr>
        <w:t xml:space="preserve"> pastrimit t</w:t>
      </w:r>
      <w:r w:rsidR="00665016" w:rsidRPr="00051667">
        <w:rPr>
          <w:rFonts w:ascii="Times New Roman" w:hAnsi="Times New Roman" w:cs="Times New Roman"/>
          <w:noProof/>
        </w:rPr>
        <w:t>ë</w:t>
      </w:r>
      <w:r w:rsidRPr="00051667">
        <w:rPr>
          <w:rFonts w:ascii="Times New Roman" w:hAnsi="Times New Roman" w:cs="Times New Roman"/>
          <w:noProof/>
        </w:rPr>
        <w:t xml:space="preserve"> parave dhe financimit t</w:t>
      </w:r>
      <w:r w:rsidR="00665016" w:rsidRPr="00051667">
        <w:rPr>
          <w:rFonts w:ascii="Times New Roman" w:hAnsi="Times New Roman" w:cs="Times New Roman"/>
          <w:noProof/>
        </w:rPr>
        <w:t>ë</w:t>
      </w:r>
      <w:r w:rsidRPr="00051667">
        <w:rPr>
          <w:rFonts w:ascii="Times New Roman" w:hAnsi="Times New Roman" w:cs="Times New Roman"/>
          <w:noProof/>
        </w:rPr>
        <w:t xml:space="preserve"> terrorizmit.</w:t>
      </w:r>
    </w:p>
    <w:p w14:paraId="5E7AF3DE" w14:textId="77777777" w:rsidR="00612C2D" w:rsidRDefault="00612C2D" w:rsidP="00051667">
      <w:pPr>
        <w:spacing w:after="0" w:line="276" w:lineRule="auto"/>
        <w:jc w:val="both"/>
        <w:rPr>
          <w:rFonts w:ascii="Times New Roman" w:hAnsi="Times New Roman" w:cs="Times New Roman"/>
          <w:noProof/>
        </w:rPr>
      </w:pPr>
    </w:p>
    <w:p w14:paraId="00C79CF8" w14:textId="36EA884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43 përcakton kriteret dhe procedurën për klasifikimin e një tokeni të asetit si ‘token aseti me rëndësi të lartë’ nga Banka e Shqipërisë kur plotësohen të paktën tre nga shtatë kriteret e përcaktuara si psh. numri i zotëruesve, kapitalizimi i tregut, madh</w:t>
      </w:r>
      <w:r w:rsidR="00665016" w:rsidRPr="00051667">
        <w:rPr>
          <w:rFonts w:ascii="Times New Roman" w:hAnsi="Times New Roman" w:cs="Times New Roman"/>
          <w:noProof/>
        </w:rPr>
        <w:t>ë</w:t>
      </w:r>
      <w:r w:rsidRPr="00051667">
        <w:rPr>
          <w:rFonts w:ascii="Times New Roman" w:hAnsi="Times New Roman" w:cs="Times New Roman"/>
          <w:noProof/>
        </w:rPr>
        <w:t>sia e rezerv</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aseteve, vëllimi i transaksioneve. </w:t>
      </w:r>
    </w:p>
    <w:p w14:paraId="15FC0A4C" w14:textId="77777777" w:rsidR="00612C2D" w:rsidRDefault="00612C2D" w:rsidP="00051667">
      <w:pPr>
        <w:spacing w:after="0" w:line="276" w:lineRule="auto"/>
        <w:jc w:val="both"/>
        <w:rPr>
          <w:rFonts w:ascii="Times New Roman" w:hAnsi="Times New Roman" w:cs="Times New Roman"/>
          <w:noProof/>
        </w:rPr>
      </w:pPr>
    </w:p>
    <w:p w14:paraId="04DD78A4" w14:textId="2DEA70F4"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44 lejon klasifikimin vullnetar të tokenave të asetit si me rëndësi të lartë, kur subjekti demonstron përmbushjen e tre kritereve.</w:t>
      </w:r>
    </w:p>
    <w:p w14:paraId="55ADCE10" w14:textId="77777777" w:rsidR="00612C2D" w:rsidRDefault="00612C2D" w:rsidP="00051667">
      <w:pPr>
        <w:spacing w:after="0" w:line="276" w:lineRule="auto"/>
        <w:jc w:val="both"/>
        <w:rPr>
          <w:rFonts w:ascii="Times New Roman" w:hAnsi="Times New Roman" w:cs="Times New Roman"/>
          <w:noProof/>
        </w:rPr>
      </w:pPr>
    </w:p>
    <w:p w14:paraId="3F69D4F1" w14:textId="0123CE4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45 vendos detyrime shtesë për emetuesit e tokenave të asetit me rëndësi të lartë, përfshirë politikën e shpërblimit, menaxhimin e likuiditetit, stress-testet dhe kërkesën për fonde t</w:t>
      </w:r>
      <w:r w:rsidR="00665016" w:rsidRPr="00051667">
        <w:rPr>
          <w:rFonts w:ascii="Times New Roman" w:hAnsi="Times New Roman" w:cs="Times New Roman"/>
          <w:noProof/>
        </w:rPr>
        <w:t>ë</w:t>
      </w:r>
      <w:r w:rsidRPr="00051667">
        <w:rPr>
          <w:rFonts w:ascii="Times New Roman" w:hAnsi="Times New Roman" w:cs="Times New Roman"/>
          <w:noProof/>
        </w:rPr>
        <w:t xml:space="preserve"> veta në nivel 3 % të rezervës s</w:t>
      </w:r>
      <w:r w:rsidR="00665016" w:rsidRPr="00051667">
        <w:rPr>
          <w:rFonts w:ascii="Times New Roman" w:hAnsi="Times New Roman" w:cs="Times New Roman"/>
          <w:noProof/>
        </w:rPr>
        <w:t>ë</w:t>
      </w:r>
      <w:r w:rsidRPr="00051667">
        <w:rPr>
          <w:rFonts w:ascii="Times New Roman" w:hAnsi="Times New Roman" w:cs="Times New Roman"/>
          <w:noProof/>
        </w:rPr>
        <w:t xml:space="preserve"> aseteve.</w:t>
      </w:r>
    </w:p>
    <w:p w14:paraId="7EF7BDE0" w14:textId="77777777" w:rsidR="00612C2D" w:rsidRDefault="00612C2D" w:rsidP="00051667">
      <w:pPr>
        <w:spacing w:after="0" w:line="276" w:lineRule="auto"/>
        <w:jc w:val="both"/>
        <w:rPr>
          <w:rFonts w:ascii="Times New Roman" w:hAnsi="Times New Roman" w:cs="Times New Roman"/>
          <w:noProof/>
        </w:rPr>
      </w:pPr>
    </w:p>
    <w:p w14:paraId="55AB3BCE" w14:textId="07C72C3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46 p</w:t>
      </w:r>
      <w:r w:rsidR="00665016" w:rsidRPr="00051667">
        <w:rPr>
          <w:rFonts w:ascii="Times New Roman" w:hAnsi="Times New Roman" w:cs="Times New Roman"/>
          <w:noProof/>
        </w:rPr>
        <w:t>ë</w:t>
      </w:r>
      <w:r w:rsidRPr="00051667">
        <w:rPr>
          <w:rFonts w:ascii="Times New Roman" w:hAnsi="Times New Roman" w:cs="Times New Roman"/>
          <w:noProof/>
        </w:rPr>
        <w:t>rcakton detyrimin p</w:t>
      </w:r>
      <w:r w:rsidR="00665016" w:rsidRPr="00051667">
        <w:rPr>
          <w:rFonts w:ascii="Times New Roman" w:hAnsi="Times New Roman" w:cs="Times New Roman"/>
          <w:noProof/>
        </w:rPr>
        <w:t>ë</w:t>
      </w:r>
      <w:r w:rsidRPr="00051667">
        <w:rPr>
          <w:rFonts w:ascii="Times New Roman" w:hAnsi="Times New Roman" w:cs="Times New Roman"/>
          <w:noProof/>
        </w:rPr>
        <w:t>r hartimin dhe implementimin e nj</w:t>
      </w:r>
      <w:r w:rsidR="00665016" w:rsidRPr="00051667">
        <w:rPr>
          <w:rFonts w:ascii="Times New Roman" w:hAnsi="Times New Roman" w:cs="Times New Roman"/>
          <w:noProof/>
        </w:rPr>
        <w:t>ë</w:t>
      </w:r>
      <w:r w:rsidRPr="00051667">
        <w:rPr>
          <w:rFonts w:ascii="Times New Roman" w:hAnsi="Times New Roman" w:cs="Times New Roman"/>
          <w:noProof/>
        </w:rPr>
        <w:t xml:space="preserve"> plani rim</w:t>
      </w:r>
      <w:r w:rsidR="00665016" w:rsidRPr="00051667">
        <w:rPr>
          <w:rFonts w:ascii="Times New Roman" w:hAnsi="Times New Roman" w:cs="Times New Roman"/>
          <w:noProof/>
        </w:rPr>
        <w:t>ë</w:t>
      </w:r>
      <w:r w:rsidRPr="00051667">
        <w:rPr>
          <w:rFonts w:ascii="Times New Roman" w:hAnsi="Times New Roman" w:cs="Times New Roman"/>
          <w:noProof/>
        </w:rPr>
        <w:t>k</w:t>
      </w:r>
      <w:r w:rsidR="00665016" w:rsidRPr="00051667">
        <w:rPr>
          <w:rFonts w:ascii="Times New Roman" w:hAnsi="Times New Roman" w:cs="Times New Roman"/>
          <w:noProof/>
        </w:rPr>
        <w:t>ë</w:t>
      </w:r>
      <w:r w:rsidRPr="00051667">
        <w:rPr>
          <w:rFonts w:ascii="Times New Roman" w:hAnsi="Times New Roman" w:cs="Times New Roman"/>
          <w:noProof/>
        </w:rPr>
        <w:t xml:space="preserve">mbjeje </w:t>
      </w:r>
      <w:r w:rsidR="00A91044" w:rsidRPr="00051667">
        <w:rPr>
          <w:rFonts w:ascii="Times New Roman" w:hAnsi="Times New Roman" w:cs="Times New Roman"/>
          <w:noProof/>
        </w:rPr>
        <w:t>i</w:t>
      </w:r>
      <w:r w:rsidRPr="00051667">
        <w:rPr>
          <w:rFonts w:ascii="Times New Roman" w:hAnsi="Times New Roman" w:cs="Times New Roman"/>
          <w:noProof/>
        </w:rPr>
        <w:t xml:space="preserve"> cili sigur</w:t>
      </w:r>
      <w:r w:rsidR="00A91044" w:rsidRPr="00051667">
        <w:rPr>
          <w:rFonts w:ascii="Times New Roman" w:hAnsi="Times New Roman" w:cs="Times New Roman"/>
          <w:noProof/>
        </w:rPr>
        <w:t>o</w:t>
      </w:r>
      <w:r w:rsidRPr="00051667">
        <w:rPr>
          <w:rFonts w:ascii="Times New Roman" w:hAnsi="Times New Roman" w:cs="Times New Roman"/>
          <w:noProof/>
        </w:rPr>
        <w:t>n p</w:t>
      </w:r>
      <w:r w:rsidR="00665016" w:rsidRPr="00051667">
        <w:rPr>
          <w:rFonts w:ascii="Times New Roman" w:hAnsi="Times New Roman" w:cs="Times New Roman"/>
          <w:noProof/>
        </w:rPr>
        <w:t>ë</w:t>
      </w:r>
      <w:r w:rsidRPr="00051667">
        <w:rPr>
          <w:rFonts w:ascii="Times New Roman" w:hAnsi="Times New Roman" w:cs="Times New Roman"/>
          <w:noProof/>
        </w:rPr>
        <w:t>rputhshm</w:t>
      </w:r>
      <w:r w:rsidR="00665016" w:rsidRPr="00051667">
        <w:rPr>
          <w:rFonts w:ascii="Times New Roman" w:hAnsi="Times New Roman" w:cs="Times New Roman"/>
          <w:noProof/>
        </w:rPr>
        <w:t>ë</w:t>
      </w:r>
      <w:r w:rsidRPr="00051667">
        <w:rPr>
          <w:rFonts w:ascii="Times New Roman" w:hAnsi="Times New Roman" w:cs="Times New Roman"/>
          <w:noProof/>
        </w:rPr>
        <w:t>rin</w:t>
      </w:r>
      <w:r w:rsidR="00665016" w:rsidRPr="00051667">
        <w:rPr>
          <w:rFonts w:ascii="Times New Roman" w:hAnsi="Times New Roman" w:cs="Times New Roman"/>
          <w:noProof/>
        </w:rPr>
        <w:t>ë</w:t>
      </w:r>
      <w:r w:rsidRPr="00051667">
        <w:rPr>
          <w:rFonts w:ascii="Times New Roman" w:hAnsi="Times New Roman" w:cs="Times New Roman"/>
          <w:noProof/>
        </w:rPr>
        <w:t xml:space="preserve"> e emetuesit t</w:t>
      </w:r>
      <w:r w:rsidR="00665016" w:rsidRPr="00051667">
        <w:rPr>
          <w:rFonts w:ascii="Times New Roman" w:hAnsi="Times New Roman" w:cs="Times New Roman"/>
          <w:noProof/>
        </w:rPr>
        <w:t>ë</w:t>
      </w:r>
      <w:r w:rsidRPr="00051667">
        <w:rPr>
          <w:rFonts w:ascii="Times New Roman" w:hAnsi="Times New Roman" w:cs="Times New Roman"/>
          <w:noProof/>
        </w:rPr>
        <w:t xml:space="preserve"> tokenit t</w:t>
      </w:r>
      <w:r w:rsidR="00665016" w:rsidRPr="00051667">
        <w:rPr>
          <w:rFonts w:ascii="Times New Roman" w:hAnsi="Times New Roman" w:cs="Times New Roman"/>
          <w:noProof/>
        </w:rPr>
        <w:t>ë</w:t>
      </w:r>
      <w:r w:rsidRPr="00051667">
        <w:rPr>
          <w:rFonts w:ascii="Times New Roman" w:hAnsi="Times New Roman" w:cs="Times New Roman"/>
          <w:noProof/>
        </w:rPr>
        <w:t xml:space="preserve"> asetit m</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rkesat e k</w:t>
      </w:r>
      <w:r w:rsidR="00665016" w:rsidRPr="00051667">
        <w:rPr>
          <w:rFonts w:ascii="Times New Roman" w:hAnsi="Times New Roman" w:cs="Times New Roman"/>
          <w:noProof/>
        </w:rPr>
        <w:t>ë</w:t>
      </w:r>
      <w:r w:rsidRPr="00051667">
        <w:rPr>
          <w:rFonts w:ascii="Times New Roman" w:hAnsi="Times New Roman" w:cs="Times New Roman"/>
          <w:noProof/>
        </w:rPr>
        <w:t>tij projektligji n</w:t>
      </w:r>
      <w:r w:rsidR="00665016" w:rsidRPr="00051667">
        <w:rPr>
          <w:rFonts w:ascii="Times New Roman" w:hAnsi="Times New Roman" w:cs="Times New Roman"/>
          <w:noProof/>
        </w:rPr>
        <w:t>ë</w:t>
      </w:r>
      <w:r w:rsidRPr="00051667">
        <w:rPr>
          <w:rFonts w:ascii="Times New Roman" w:hAnsi="Times New Roman" w:cs="Times New Roman"/>
          <w:noProof/>
        </w:rPr>
        <w:t xml:space="preserve"> raste krizash. </w:t>
      </w:r>
    </w:p>
    <w:p w14:paraId="7B6FB63D" w14:textId="77777777" w:rsidR="00612C2D" w:rsidRDefault="00612C2D" w:rsidP="00051667">
      <w:pPr>
        <w:spacing w:after="0" w:line="276" w:lineRule="auto"/>
        <w:jc w:val="both"/>
        <w:rPr>
          <w:rFonts w:ascii="Times New Roman" w:hAnsi="Times New Roman" w:cs="Times New Roman"/>
          <w:noProof/>
        </w:rPr>
      </w:pPr>
    </w:p>
    <w:p w14:paraId="2522390F" w14:textId="013C254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47 p</w:t>
      </w:r>
      <w:r w:rsidR="00665016" w:rsidRPr="00051667">
        <w:rPr>
          <w:rFonts w:ascii="Times New Roman" w:hAnsi="Times New Roman" w:cs="Times New Roman"/>
          <w:noProof/>
        </w:rPr>
        <w:t>ë</w:t>
      </w:r>
      <w:r w:rsidRPr="00051667">
        <w:rPr>
          <w:rFonts w:ascii="Times New Roman" w:hAnsi="Times New Roman" w:cs="Times New Roman"/>
          <w:noProof/>
        </w:rPr>
        <w:t>rcakton detyrimin e emetuesit q</w:t>
      </w:r>
      <w:r w:rsidR="00665016" w:rsidRPr="00051667">
        <w:rPr>
          <w:rFonts w:ascii="Times New Roman" w:hAnsi="Times New Roman" w:cs="Times New Roman"/>
          <w:noProof/>
        </w:rPr>
        <w:t>ë</w:t>
      </w:r>
      <w:r w:rsidRPr="00051667">
        <w:rPr>
          <w:rFonts w:ascii="Times New Roman" w:hAnsi="Times New Roman" w:cs="Times New Roman"/>
          <w:noProof/>
        </w:rPr>
        <w:t xml:space="preserve"> të hartojë e të implementoj</w:t>
      </w:r>
      <w:r w:rsidR="00665016" w:rsidRPr="00051667">
        <w:rPr>
          <w:rFonts w:ascii="Times New Roman" w:hAnsi="Times New Roman" w:cs="Times New Roman"/>
          <w:noProof/>
        </w:rPr>
        <w:t>ë</w:t>
      </w:r>
      <w:r w:rsidRPr="00051667">
        <w:rPr>
          <w:rFonts w:ascii="Times New Roman" w:hAnsi="Times New Roman" w:cs="Times New Roman"/>
          <w:noProof/>
        </w:rPr>
        <w:t xml:space="preserve"> një plan operacional shlyerjeje i cili garanton shlyerje të rregullt, trajtim të drejtë e pagesë të shpejtë të zotëruesve t</w:t>
      </w:r>
      <w:r w:rsidR="00665016" w:rsidRPr="00051667">
        <w:rPr>
          <w:rFonts w:ascii="Times New Roman" w:hAnsi="Times New Roman" w:cs="Times New Roman"/>
          <w:noProof/>
        </w:rPr>
        <w:t>ë</w:t>
      </w:r>
      <w:r w:rsidRPr="00051667">
        <w:rPr>
          <w:rFonts w:ascii="Times New Roman" w:hAnsi="Times New Roman" w:cs="Times New Roman"/>
          <w:noProof/>
        </w:rPr>
        <w:t xml:space="preserve"> tokenave t</w:t>
      </w:r>
      <w:r w:rsidR="00665016" w:rsidRPr="00051667">
        <w:rPr>
          <w:rFonts w:ascii="Times New Roman" w:hAnsi="Times New Roman" w:cs="Times New Roman"/>
          <w:noProof/>
        </w:rPr>
        <w:t>ë</w:t>
      </w:r>
      <w:r w:rsidRPr="00051667">
        <w:rPr>
          <w:rFonts w:ascii="Times New Roman" w:hAnsi="Times New Roman" w:cs="Times New Roman"/>
          <w:noProof/>
        </w:rPr>
        <w:t xml:space="preserve"> asetit. </w:t>
      </w:r>
    </w:p>
    <w:p w14:paraId="67B77C55" w14:textId="77777777" w:rsidR="00612C2D" w:rsidRDefault="00612C2D" w:rsidP="00051667">
      <w:pPr>
        <w:spacing w:after="0" w:line="276" w:lineRule="auto"/>
        <w:jc w:val="both"/>
        <w:rPr>
          <w:rFonts w:ascii="Times New Roman" w:hAnsi="Times New Roman" w:cs="Times New Roman"/>
          <w:noProof/>
        </w:rPr>
      </w:pPr>
    </w:p>
    <w:p w14:paraId="2D453120" w14:textId="77777777" w:rsidR="00612C2D"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48 përcakton se ofertat/pranimi për tregtim lejohet vetëm nga emetues të licencuar nga Banka e Shqip</w:t>
      </w:r>
      <w:r w:rsidR="00665016" w:rsidRPr="00051667">
        <w:rPr>
          <w:rFonts w:ascii="Times New Roman" w:hAnsi="Times New Roman" w:cs="Times New Roman"/>
          <w:noProof/>
        </w:rPr>
        <w:t>ë</w:t>
      </w:r>
      <w:r w:rsidRPr="00051667">
        <w:rPr>
          <w:rFonts w:ascii="Times New Roman" w:hAnsi="Times New Roman" w:cs="Times New Roman"/>
          <w:noProof/>
        </w:rPr>
        <w:t>ris</w:t>
      </w:r>
      <w:r w:rsidR="00665016" w:rsidRPr="00051667">
        <w:rPr>
          <w:rFonts w:ascii="Times New Roman" w:hAnsi="Times New Roman" w:cs="Times New Roman"/>
          <w:noProof/>
        </w:rPr>
        <w:t>ë</w:t>
      </w:r>
      <w:r w:rsidRPr="00051667">
        <w:rPr>
          <w:rFonts w:ascii="Times New Roman" w:hAnsi="Times New Roman" w:cs="Times New Roman"/>
          <w:noProof/>
        </w:rPr>
        <w:t xml:space="preserve"> si institucion krediti ose institucion i parasë elektronike, me dokument informues të </w:t>
      </w:r>
    </w:p>
    <w:p w14:paraId="2CF3CB84" w14:textId="0529BD0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njoftuar e publikuar n</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rputhje me p</w:t>
      </w:r>
      <w:r w:rsidR="00665016" w:rsidRPr="00051667">
        <w:rPr>
          <w:rFonts w:ascii="Times New Roman" w:hAnsi="Times New Roman" w:cs="Times New Roman"/>
          <w:noProof/>
        </w:rPr>
        <w:t>ë</w:t>
      </w:r>
      <w:r w:rsidRPr="00051667">
        <w:rPr>
          <w:rFonts w:ascii="Times New Roman" w:hAnsi="Times New Roman" w:cs="Times New Roman"/>
          <w:noProof/>
        </w:rPr>
        <w:t>rcaktimet e k</w:t>
      </w:r>
      <w:r w:rsidR="00665016" w:rsidRPr="00051667">
        <w:rPr>
          <w:rFonts w:ascii="Times New Roman" w:hAnsi="Times New Roman" w:cs="Times New Roman"/>
          <w:noProof/>
        </w:rPr>
        <w:t>ë</w:t>
      </w:r>
      <w:r w:rsidRPr="00051667">
        <w:rPr>
          <w:rFonts w:ascii="Times New Roman" w:hAnsi="Times New Roman" w:cs="Times New Roman"/>
          <w:noProof/>
        </w:rPr>
        <w:t>tij projektligji.</w:t>
      </w:r>
    </w:p>
    <w:p w14:paraId="3A67205E" w14:textId="77777777" w:rsidR="00612C2D" w:rsidRDefault="00612C2D" w:rsidP="00051667">
      <w:pPr>
        <w:spacing w:after="0" w:line="276" w:lineRule="auto"/>
        <w:jc w:val="both"/>
        <w:rPr>
          <w:rFonts w:ascii="Times New Roman" w:hAnsi="Times New Roman" w:cs="Times New Roman"/>
          <w:noProof/>
        </w:rPr>
      </w:pPr>
    </w:p>
    <w:p w14:paraId="1FD36358" w14:textId="527A56F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49 p</w:t>
      </w:r>
      <w:r w:rsidR="00665016" w:rsidRPr="00051667">
        <w:rPr>
          <w:rFonts w:ascii="Times New Roman" w:hAnsi="Times New Roman" w:cs="Times New Roman"/>
          <w:noProof/>
        </w:rPr>
        <w:t>ë</w:t>
      </w:r>
      <w:r w:rsidRPr="00051667">
        <w:rPr>
          <w:rFonts w:ascii="Times New Roman" w:hAnsi="Times New Roman" w:cs="Times New Roman"/>
          <w:noProof/>
        </w:rPr>
        <w:t>rcakton detyrimin p</w:t>
      </w:r>
      <w:r w:rsidR="00665016" w:rsidRPr="00051667">
        <w:rPr>
          <w:rFonts w:ascii="Times New Roman" w:hAnsi="Times New Roman" w:cs="Times New Roman"/>
          <w:noProof/>
        </w:rPr>
        <w:t>ë</w:t>
      </w:r>
      <w:r w:rsidRPr="00051667">
        <w:rPr>
          <w:rFonts w:ascii="Times New Roman" w:hAnsi="Times New Roman" w:cs="Times New Roman"/>
          <w:noProof/>
        </w:rPr>
        <w:t>r emetimin në vlerë të barabartë me fondet e mbajtura dhe rimbursimin në çdo kohë në fonde, pa pages</w:t>
      </w:r>
      <w:r w:rsidR="00665016" w:rsidRPr="00051667">
        <w:rPr>
          <w:rFonts w:ascii="Times New Roman" w:hAnsi="Times New Roman" w:cs="Times New Roman"/>
          <w:noProof/>
        </w:rPr>
        <w:t>ë</w:t>
      </w:r>
      <w:r w:rsidRPr="00051667">
        <w:rPr>
          <w:rFonts w:ascii="Times New Roman" w:hAnsi="Times New Roman" w:cs="Times New Roman"/>
          <w:noProof/>
        </w:rPr>
        <w:t>, n</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rputhje me kushtet e shlyerjes të sqaruara në dokumentin informues.</w:t>
      </w:r>
    </w:p>
    <w:p w14:paraId="4DAC7582" w14:textId="77777777" w:rsidR="00612C2D" w:rsidRDefault="00612C2D" w:rsidP="00051667">
      <w:pPr>
        <w:spacing w:after="0" w:line="276" w:lineRule="auto"/>
        <w:jc w:val="both"/>
        <w:rPr>
          <w:rFonts w:ascii="Times New Roman" w:hAnsi="Times New Roman" w:cs="Times New Roman"/>
          <w:noProof/>
        </w:rPr>
      </w:pPr>
    </w:p>
    <w:p w14:paraId="0B96D906" w14:textId="6C24E26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50 ndalon dhënien e interesit për tokenin e parasë elektronike</w:t>
      </w:r>
      <w:r w:rsidR="00A91044" w:rsidRPr="00051667">
        <w:rPr>
          <w:rFonts w:ascii="Times New Roman" w:hAnsi="Times New Roman" w:cs="Times New Roman"/>
          <w:noProof/>
        </w:rPr>
        <w:t>.</w:t>
      </w:r>
      <w:r w:rsidRPr="00051667">
        <w:rPr>
          <w:rFonts w:ascii="Times New Roman" w:hAnsi="Times New Roman" w:cs="Times New Roman"/>
          <w:noProof/>
        </w:rPr>
        <w:t xml:space="preserve"> </w:t>
      </w:r>
    </w:p>
    <w:p w14:paraId="066E0E83" w14:textId="77777777" w:rsidR="00612C2D" w:rsidRDefault="00612C2D" w:rsidP="00051667">
      <w:pPr>
        <w:spacing w:after="0" w:line="276" w:lineRule="auto"/>
        <w:jc w:val="both"/>
        <w:rPr>
          <w:rFonts w:ascii="Times New Roman" w:hAnsi="Times New Roman" w:cs="Times New Roman"/>
          <w:noProof/>
        </w:rPr>
      </w:pPr>
    </w:p>
    <w:p w14:paraId="35107B8B" w14:textId="5319235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51</w:t>
      </w:r>
      <w:r w:rsidR="00A91044" w:rsidRPr="00051667">
        <w:rPr>
          <w:rFonts w:ascii="Times New Roman" w:hAnsi="Times New Roman" w:cs="Times New Roman"/>
          <w:noProof/>
        </w:rPr>
        <w:t xml:space="preserve"> </w:t>
      </w:r>
      <w:r w:rsidRPr="00051667">
        <w:rPr>
          <w:rFonts w:ascii="Times New Roman" w:hAnsi="Times New Roman" w:cs="Times New Roman"/>
          <w:noProof/>
        </w:rPr>
        <w:t>cakton përmbajtjen, formatin dhe procedurën e dokumentit informues (deklaratat, paralajmërimet, përmbledhjen, gjuhën, njoftimin ≥20 ditë pune, publikimin, raportimin te AMF).</w:t>
      </w:r>
    </w:p>
    <w:p w14:paraId="0205B306" w14:textId="77777777" w:rsidR="00612C2D" w:rsidRDefault="00612C2D" w:rsidP="00051667">
      <w:pPr>
        <w:spacing w:after="0" w:line="276" w:lineRule="auto"/>
        <w:jc w:val="both"/>
        <w:rPr>
          <w:rFonts w:ascii="Times New Roman" w:hAnsi="Times New Roman" w:cs="Times New Roman"/>
          <w:noProof/>
        </w:rPr>
      </w:pPr>
    </w:p>
    <w:p w14:paraId="54605E75" w14:textId="472F70C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52 p</w:t>
      </w:r>
      <w:r w:rsidR="00665016" w:rsidRPr="00051667">
        <w:rPr>
          <w:rFonts w:ascii="Times New Roman" w:hAnsi="Times New Roman" w:cs="Times New Roman"/>
          <w:noProof/>
        </w:rPr>
        <w:t>ë</w:t>
      </w:r>
      <w:r w:rsidRPr="00051667">
        <w:rPr>
          <w:rFonts w:ascii="Times New Roman" w:hAnsi="Times New Roman" w:cs="Times New Roman"/>
          <w:noProof/>
        </w:rPr>
        <w:t>rcakton p</w:t>
      </w:r>
      <w:r w:rsidR="00665016" w:rsidRPr="00051667">
        <w:rPr>
          <w:rFonts w:ascii="Times New Roman" w:hAnsi="Times New Roman" w:cs="Times New Roman"/>
          <w:noProof/>
        </w:rPr>
        <w:t>ë</w:t>
      </w:r>
      <w:r w:rsidRPr="00051667">
        <w:rPr>
          <w:rFonts w:ascii="Times New Roman" w:hAnsi="Times New Roman" w:cs="Times New Roman"/>
          <w:noProof/>
        </w:rPr>
        <w:t>rgjegj</w:t>
      </w:r>
      <w:r w:rsidR="00665016" w:rsidRPr="00051667">
        <w:rPr>
          <w:rFonts w:ascii="Times New Roman" w:hAnsi="Times New Roman" w:cs="Times New Roman"/>
          <w:noProof/>
        </w:rPr>
        <w:t>ë</w:t>
      </w:r>
      <w:r w:rsidRPr="00051667">
        <w:rPr>
          <w:rFonts w:ascii="Times New Roman" w:hAnsi="Times New Roman" w:cs="Times New Roman"/>
          <w:noProof/>
        </w:rPr>
        <w:t>sit</w:t>
      </w:r>
      <w:r w:rsidR="00665016" w:rsidRPr="00051667">
        <w:rPr>
          <w:rFonts w:ascii="Times New Roman" w:hAnsi="Times New Roman" w:cs="Times New Roman"/>
          <w:noProof/>
        </w:rPr>
        <w:t>ë</w:t>
      </w:r>
      <w:r w:rsidRPr="00051667">
        <w:rPr>
          <w:rFonts w:ascii="Times New Roman" w:hAnsi="Times New Roman" w:cs="Times New Roman"/>
          <w:noProof/>
        </w:rPr>
        <w:t xml:space="preserve"> e emetuesit dhe organit drejtuese për informacion të paplotë/jo të drejtë/konfuz, me pavlefshmëri të çdo heqjeje dorë dhe rregull mbi barrën e provës.</w:t>
      </w:r>
    </w:p>
    <w:p w14:paraId="4B6A6A58" w14:textId="77777777" w:rsidR="00612C2D" w:rsidRDefault="00612C2D" w:rsidP="00051667">
      <w:pPr>
        <w:spacing w:after="0" w:line="276" w:lineRule="auto"/>
        <w:jc w:val="both"/>
        <w:rPr>
          <w:rFonts w:ascii="Times New Roman" w:hAnsi="Times New Roman" w:cs="Times New Roman"/>
          <w:noProof/>
        </w:rPr>
      </w:pPr>
    </w:p>
    <w:p w14:paraId="10149BFA" w14:textId="2FB199E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53 kërkon që komunikimet e marketingut të jenë të identifikueshme, të qarta, në përputhje me dokumentin informues, të deklarojnë të drejtën e rimbursimit dhe të mos shpërndahen para publikimit të dokumentit informues.</w:t>
      </w:r>
    </w:p>
    <w:p w14:paraId="2F3EE4EE" w14:textId="77777777" w:rsidR="00612C2D" w:rsidRDefault="00612C2D" w:rsidP="00051667">
      <w:pPr>
        <w:spacing w:after="0" w:line="276" w:lineRule="auto"/>
        <w:jc w:val="both"/>
        <w:rPr>
          <w:rFonts w:ascii="Times New Roman" w:hAnsi="Times New Roman" w:cs="Times New Roman"/>
          <w:noProof/>
        </w:rPr>
      </w:pPr>
    </w:p>
    <w:p w14:paraId="01B087C3" w14:textId="4C7E959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54 urdhëron që të paktën 30% e fondeve të mbahen depozita në institucione krediti dhe pjesa tjetër të investohet në aktiva likuide me rrezik të ulët, në të njëjtën valutë si tokeni.</w:t>
      </w:r>
    </w:p>
    <w:p w14:paraId="6C54F152" w14:textId="7777777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 xml:space="preserve">Neni 55 zbaton </w:t>
      </w:r>
      <w:r w:rsidRPr="00051667">
        <w:rPr>
          <w:rFonts w:ascii="Times New Roman" w:hAnsi="Times New Roman" w:cs="Times New Roman"/>
          <w:i/>
          <w:iCs/>
          <w:noProof/>
        </w:rPr>
        <w:t>mutatis mutandis</w:t>
      </w:r>
      <w:r w:rsidRPr="00051667">
        <w:rPr>
          <w:rFonts w:ascii="Times New Roman" w:hAnsi="Times New Roman" w:cs="Times New Roman"/>
          <w:noProof/>
        </w:rPr>
        <w:t xml:space="preserve"> planet e rimëkëmbjes dhe rimbursimit (me afate njoftimi 6-mujore nga oferta/pranimi për tregtim).</w:t>
      </w:r>
    </w:p>
    <w:p w14:paraId="5189B934" w14:textId="77777777" w:rsidR="00612C2D" w:rsidRDefault="00612C2D" w:rsidP="00051667">
      <w:pPr>
        <w:spacing w:after="0" w:line="276" w:lineRule="auto"/>
        <w:jc w:val="both"/>
        <w:rPr>
          <w:rFonts w:ascii="Times New Roman" w:hAnsi="Times New Roman" w:cs="Times New Roman"/>
          <w:noProof/>
        </w:rPr>
      </w:pPr>
    </w:p>
    <w:p w14:paraId="11BABA73" w14:textId="1AE15515"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56 përcakton klasifikimin si token i parasë elektronike me rëndësi të lartë kur përmbushen të paktën tre kritere të Nenit 43(1), me procedurë njoftimi, komentesh, vendimi 60-ditor dhe transferim mbikëqyrjeje te Banka e Shqipërisë (me përjashtime kur aktiviteti është i përqendruar në vendin e origjinës).</w:t>
      </w:r>
    </w:p>
    <w:p w14:paraId="3F35A463" w14:textId="77777777" w:rsidR="00612C2D" w:rsidRDefault="00612C2D" w:rsidP="00051667">
      <w:pPr>
        <w:spacing w:after="0" w:line="276" w:lineRule="auto"/>
        <w:jc w:val="both"/>
        <w:rPr>
          <w:rFonts w:ascii="Times New Roman" w:hAnsi="Times New Roman" w:cs="Times New Roman"/>
          <w:noProof/>
        </w:rPr>
      </w:pPr>
    </w:p>
    <w:p w14:paraId="438F884C" w14:textId="2B92F10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57 lejon klasifikim vullnetar si token i rëndësishëm i parasë elektronike mbi bazë programi veprimtarie që tregon përmbushjen e tre kritereve, me vendim përfundimtar brenda 60 ditësh.</w:t>
      </w:r>
    </w:p>
    <w:p w14:paraId="24FC0351" w14:textId="77777777" w:rsidR="00612C2D" w:rsidRDefault="00612C2D" w:rsidP="00051667">
      <w:pPr>
        <w:spacing w:after="0" w:line="276" w:lineRule="auto"/>
        <w:jc w:val="both"/>
        <w:rPr>
          <w:rFonts w:ascii="Times New Roman" w:hAnsi="Times New Roman" w:cs="Times New Roman"/>
          <w:noProof/>
        </w:rPr>
      </w:pPr>
    </w:p>
    <w:p w14:paraId="746CA020" w14:textId="07F033B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58 vendos detyrime shtesë për emetuesit e rëndësishëm të parasë elektronike (rezervë, kujdestari, investim, likuiditet, stress test, fonde të veta), me mundësi që autoritetet t’i kërkojnë masa të ngjashme edhe atyre jo të rëndësishëm kur kërkohet nga rreziqet.</w:t>
      </w:r>
    </w:p>
    <w:p w14:paraId="788A2307" w14:textId="77777777" w:rsidR="00612C2D" w:rsidRDefault="00612C2D" w:rsidP="00051667">
      <w:pPr>
        <w:spacing w:after="0" w:line="276" w:lineRule="auto"/>
        <w:jc w:val="both"/>
        <w:rPr>
          <w:rFonts w:ascii="Times New Roman" w:hAnsi="Times New Roman" w:cs="Times New Roman"/>
          <w:noProof/>
        </w:rPr>
      </w:pPr>
    </w:p>
    <w:p w14:paraId="0647E7A3" w14:textId="7317F11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59 përcakton subjektet që lejohen të ofrojnë shërbime të kripto-aseteve (subjekte të autorizuara ose subjekte financiare sipas nenit 60), kushtet e prezencës në Shqipëri, si dhe ndalimin e ofrimit t</w:t>
      </w:r>
      <w:r w:rsidR="00665016" w:rsidRPr="00051667">
        <w:rPr>
          <w:rFonts w:ascii="Times New Roman" w:hAnsi="Times New Roman" w:cs="Times New Roman"/>
          <w:noProof/>
        </w:rPr>
        <w:t>ë</w:t>
      </w:r>
      <w:r w:rsidRPr="00051667">
        <w:rPr>
          <w:rFonts w:ascii="Times New Roman" w:hAnsi="Times New Roman" w:cs="Times New Roman"/>
          <w:noProof/>
        </w:rPr>
        <w:t xml:space="preserv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pa autorizimin p</w:t>
      </w:r>
      <w:r w:rsidR="00665016" w:rsidRPr="00051667">
        <w:rPr>
          <w:rFonts w:ascii="Times New Roman" w:hAnsi="Times New Roman" w:cs="Times New Roman"/>
          <w:noProof/>
        </w:rPr>
        <w:t>ë</w:t>
      </w:r>
      <w:r w:rsidRPr="00051667">
        <w:rPr>
          <w:rFonts w:ascii="Times New Roman" w:hAnsi="Times New Roman" w:cs="Times New Roman"/>
          <w:noProof/>
        </w:rPr>
        <w:t>rkat</w:t>
      </w:r>
      <w:r w:rsidR="00665016" w:rsidRPr="00051667">
        <w:rPr>
          <w:rFonts w:ascii="Times New Roman" w:hAnsi="Times New Roman" w:cs="Times New Roman"/>
          <w:noProof/>
        </w:rPr>
        <w:t>ë</w:t>
      </w:r>
      <w:r w:rsidRPr="00051667">
        <w:rPr>
          <w:rFonts w:ascii="Times New Roman" w:hAnsi="Times New Roman" w:cs="Times New Roman"/>
          <w:noProof/>
        </w:rPr>
        <w:t>s.</w:t>
      </w:r>
    </w:p>
    <w:p w14:paraId="3EBAB1C7" w14:textId="77777777" w:rsidR="00612C2D" w:rsidRDefault="00612C2D" w:rsidP="00051667">
      <w:pPr>
        <w:spacing w:after="0" w:line="276" w:lineRule="auto"/>
        <w:jc w:val="both"/>
        <w:rPr>
          <w:rFonts w:ascii="Times New Roman" w:hAnsi="Times New Roman" w:cs="Times New Roman"/>
          <w:noProof/>
        </w:rPr>
      </w:pPr>
    </w:p>
    <w:p w14:paraId="0F8DFD02" w14:textId="666EAB9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60 përcakton rregullat p</w:t>
      </w:r>
      <w:r w:rsidR="00665016" w:rsidRPr="00051667">
        <w:rPr>
          <w:rFonts w:ascii="Times New Roman" w:hAnsi="Times New Roman" w:cs="Times New Roman"/>
          <w:noProof/>
        </w:rPr>
        <w:t>ë</w:t>
      </w:r>
      <w:r w:rsidRPr="00051667">
        <w:rPr>
          <w:rFonts w:ascii="Times New Roman" w:hAnsi="Times New Roman" w:cs="Times New Roman"/>
          <w:noProof/>
        </w:rPr>
        <w:t>r ofrimin 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nga ana e subjekteve financiare p</w:t>
      </w:r>
      <w:r w:rsidR="00665016" w:rsidRPr="00051667">
        <w:rPr>
          <w:rFonts w:ascii="Times New Roman" w:hAnsi="Times New Roman" w:cs="Times New Roman"/>
          <w:noProof/>
        </w:rPr>
        <w:t>ë</w:t>
      </w:r>
      <w:r w:rsidRPr="00051667">
        <w:rPr>
          <w:rFonts w:ascii="Times New Roman" w:hAnsi="Times New Roman" w:cs="Times New Roman"/>
          <w:noProof/>
        </w:rPr>
        <w:t>rmes nj</w:t>
      </w:r>
      <w:r w:rsidR="00665016" w:rsidRPr="00051667">
        <w:rPr>
          <w:rFonts w:ascii="Times New Roman" w:hAnsi="Times New Roman" w:cs="Times New Roman"/>
          <w:noProof/>
        </w:rPr>
        <w:t>ë</w:t>
      </w:r>
      <w:r w:rsidRPr="00051667">
        <w:rPr>
          <w:rFonts w:ascii="Times New Roman" w:hAnsi="Times New Roman" w:cs="Times New Roman"/>
          <w:noProof/>
        </w:rPr>
        <w:t xml:space="preserve"> procedure njoftimi t</w:t>
      </w:r>
      <w:r w:rsidR="00665016" w:rsidRPr="00051667">
        <w:rPr>
          <w:rFonts w:ascii="Times New Roman" w:hAnsi="Times New Roman" w:cs="Times New Roman"/>
          <w:noProof/>
        </w:rPr>
        <w:t>ë</w:t>
      </w:r>
      <w:r w:rsidRPr="00051667">
        <w:rPr>
          <w:rFonts w:ascii="Times New Roman" w:hAnsi="Times New Roman" w:cs="Times New Roman"/>
          <w:noProof/>
        </w:rPr>
        <w:t xml:space="preserve"> pakt</w:t>
      </w:r>
      <w:r w:rsidR="00665016" w:rsidRPr="00051667">
        <w:rPr>
          <w:rFonts w:ascii="Times New Roman" w:hAnsi="Times New Roman" w:cs="Times New Roman"/>
          <w:noProof/>
        </w:rPr>
        <w:t>ë</w:t>
      </w:r>
      <w:r w:rsidRPr="00051667">
        <w:rPr>
          <w:rFonts w:ascii="Times New Roman" w:hAnsi="Times New Roman" w:cs="Times New Roman"/>
          <w:noProof/>
        </w:rPr>
        <w:t>n 40 dit</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rpara nisjes s</w:t>
      </w:r>
      <w:r w:rsidR="00665016" w:rsidRPr="00051667">
        <w:rPr>
          <w:rFonts w:ascii="Times New Roman" w:hAnsi="Times New Roman" w:cs="Times New Roman"/>
          <w:noProof/>
        </w:rPr>
        <w:t>ë</w:t>
      </w:r>
      <w:r w:rsidRPr="00051667">
        <w:rPr>
          <w:rFonts w:ascii="Times New Roman" w:hAnsi="Times New Roman" w:cs="Times New Roman"/>
          <w:noProof/>
        </w:rPr>
        <w:t xml:space="preserve"> ofrimit t</w:t>
      </w:r>
      <w:r w:rsidR="00665016" w:rsidRPr="00051667">
        <w:rPr>
          <w:rFonts w:ascii="Times New Roman" w:hAnsi="Times New Roman" w:cs="Times New Roman"/>
          <w:noProof/>
        </w:rPr>
        <w:t>ë</w:t>
      </w:r>
      <w:r w:rsidRPr="00051667">
        <w:rPr>
          <w:rFonts w:ascii="Times New Roman" w:hAnsi="Times New Roman" w:cs="Times New Roman"/>
          <w:noProof/>
        </w:rPr>
        <w:t xml:space="preserve"> sh</w:t>
      </w:r>
      <w:r w:rsidR="00665016" w:rsidRPr="00051667">
        <w:rPr>
          <w:rFonts w:ascii="Times New Roman" w:hAnsi="Times New Roman" w:cs="Times New Roman"/>
          <w:noProof/>
        </w:rPr>
        <w:t>ë</w:t>
      </w:r>
      <w:r w:rsidRPr="00051667">
        <w:rPr>
          <w:rFonts w:ascii="Times New Roman" w:hAnsi="Times New Roman" w:cs="Times New Roman"/>
          <w:noProof/>
        </w:rPr>
        <w:t>rbimeve, duke ekuivalentuar sh</w:t>
      </w:r>
      <w:r w:rsidR="00665016" w:rsidRPr="00051667">
        <w:rPr>
          <w:rFonts w:ascii="Times New Roman" w:hAnsi="Times New Roman" w:cs="Times New Roman"/>
          <w:noProof/>
        </w:rPr>
        <w:t>ë</w:t>
      </w:r>
      <w:r w:rsidRPr="00051667">
        <w:rPr>
          <w:rFonts w:ascii="Times New Roman" w:hAnsi="Times New Roman" w:cs="Times New Roman"/>
          <w:noProof/>
        </w:rPr>
        <w:t>rbimet e rregulluara nga legjislacioni n</w:t>
      </w:r>
      <w:r w:rsidR="00665016" w:rsidRPr="00051667">
        <w:rPr>
          <w:rFonts w:ascii="Times New Roman" w:hAnsi="Times New Roman" w:cs="Times New Roman"/>
          <w:noProof/>
        </w:rPr>
        <w:t>ë</w:t>
      </w:r>
      <w:r w:rsidRPr="00051667">
        <w:rPr>
          <w:rFonts w:ascii="Times New Roman" w:hAnsi="Times New Roman" w:cs="Times New Roman"/>
          <w:noProof/>
        </w:rPr>
        <w:t xml:space="preserve"> fuqi p</w:t>
      </w:r>
      <w:r w:rsidR="00665016" w:rsidRPr="00051667">
        <w:rPr>
          <w:rFonts w:ascii="Times New Roman" w:hAnsi="Times New Roman" w:cs="Times New Roman"/>
          <w:noProof/>
        </w:rPr>
        <w:t>ë</w:t>
      </w:r>
      <w:r w:rsidRPr="00051667">
        <w:rPr>
          <w:rFonts w:ascii="Times New Roman" w:hAnsi="Times New Roman" w:cs="Times New Roman"/>
          <w:noProof/>
        </w:rPr>
        <w:t>r tregjet e kapitalit dhe sip</w:t>
      </w:r>
      <w:r w:rsidR="00665016" w:rsidRPr="00051667">
        <w:rPr>
          <w:rFonts w:ascii="Times New Roman" w:hAnsi="Times New Roman" w:cs="Times New Roman"/>
          <w:noProof/>
        </w:rPr>
        <w:t>ë</w:t>
      </w:r>
      <w:r w:rsidRPr="00051667">
        <w:rPr>
          <w:rFonts w:ascii="Times New Roman" w:hAnsi="Times New Roman" w:cs="Times New Roman"/>
          <w:noProof/>
        </w:rPr>
        <w:t>rmarrjet e investimeve kolektive me ato t</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rcaktuara p</w:t>
      </w:r>
      <w:r w:rsidR="00665016" w:rsidRPr="00051667">
        <w:rPr>
          <w:rFonts w:ascii="Times New Roman" w:hAnsi="Times New Roman" w:cs="Times New Roman"/>
          <w:noProof/>
        </w:rPr>
        <w:t>ë</w:t>
      </w:r>
      <w:r w:rsidRPr="00051667">
        <w:rPr>
          <w:rFonts w:ascii="Times New Roman" w:hAnsi="Times New Roman" w:cs="Times New Roman"/>
          <w:noProof/>
        </w:rPr>
        <w:t>r ofruesit 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kripto-asetve. </w:t>
      </w:r>
    </w:p>
    <w:p w14:paraId="71FACEEE" w14:textId="77777777" w:rsidR="00612C2D" w:rsidRDefault="00612C2D" w:rsidP="00051667">
      <w:pPr>
        <w:spacing w:after="0" w:line="276" w:lineRule="auto"/>
        <w:jc w:val="both"/>
        <w:rPr>
          <w:rFonts w:ascii="Times New Roman" w:hAnsi="Times New Roman" w:cs="Times New Roman"/>
          <w:noProof/>
        </w:rPr>
      </w:pPr>
    </w:p>
    <w:p w14:paraId="552FF052" w14:textId="1B42EFE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61 parashikon se përjashtimi për ofrim me nismë ekskluzive të klientit vlen vetëm kur nuk ka ndërveprim aktiv të subjektit nga jasht</w:t>
      </w:r>
      <w:r w:rsidR="00665016" w:rsidRPr="00051667">
        <w:rPr>
          <w:rFonts w:ascii="Times New Roman" w:hAnsi="Times New Roman" w:cs="Times New Roman"/>
          <w:noProof/>
        </w:rPr>
        <w:t>ë</w:t>
      </w:r>
      <w:r w:rsidRPr="00051667">
        <w:rPr>
          <w:rFonts w:ascii="Times New Roman" w:hAnsi="Times New Roman" w:cs="Times New Roman"/>
          <w:noProof/>
        </w:rPr>
        <w:t xml:space="preserve"> Republik</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Shqip</w:t>
      </w:r>
      <w:r w:rsidR="00665016" w:rsidRPr="00051667">
        <w:rPr>
          <w:rFonts w:ascii="Times New Roman" w:hAnsi="Times New Roman" w:cs="Times New Roman"/>
          <w:noProof/>
        </w:rPr>
        <w:t>ë</w:t>
      </w:r>
      <w:r w:rsidRPr="00051667">
        <w:rPr>
          <w:rFonts w:ascii="Times New Roman" w:hAnsi="Times New Roman" w:cs="Times New Roman"/>
          <w:noProof/>
        </w:rPr>
        <w:t>rsi</w:t>
      </w:r>
      <w:r w:rsidR="00665016" w:rsidRPr="00051667">
        <w:rPr>
          <w:rFonts w:ascii="Times New Roman" w:hAnsi="Times New Roman" w:cs="Times New Roman"/>
          <w:noProof/>
        </w:rPr>
        <w:t>ë</w:t>
      </w:r>
      <w:r w:rsidRPr="00051667">
        <w:rPr>
          <w:rFonts w:ascii="Times New Roman" w:hAnsi="Times New Roman" w:cs="Times New Roman"/>
          <w:noProof/>
        </w:rPr>
        <w:t xml:space="preserve"> për të tërhequr klientë nga Shqipëria. </w:t>
      </w:r>
    </w:p>
    <w:p w14:paraId="0A7A207A" w14:textId="77777777" w:rsidR="00612C2D" w:rsidRDefault="00612C2D" w:rsidP="00051667">
      <w:pPr>
        <w:spacing w:after="0" w:line="276" w:lineRule="auto"/>
        <w:jc w:val="both"/>
        <w:rPr>
          <w:rFonts w:ascii="Times New Roman" w:hAnsi="Times New Roman" w:cs="Times New Roman"/>
          <w:noProof/>
        </w:rPr>
      </w:pPr>
    </w:p>
    <w:p w14:paraId="2B235547" w14:textId="3DE16205" w:rsidR="006B1FDD"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62 përcakton përmbajtjen e kërkesës për autorizim si ofrues i shërbimeve të kripto-aseteve pranë AMF, duke p</w:t>
      </w:r>
      <w:r w:rsidR="00665016" w:rsidRPr="00051667">
        <w:rPr>
          <w:rFonts w:ascii="Times New Roman" w:hAnsi="Times New Roman" w:cs="Times New Roman"/>
          <w:noProof/>
        </w:rPr>
        <w:t>ë</w:t>
      </w:r>
      <w:r w:rsidRPr="00051667">
        <w:rPr>
          <w:rFonts w:ascii="Times New Roman" w:hAnsi="Times New Roman" w:cs="Times New Roman"/>
          <w:noProof/>
        </w:rPr>
        <w:t>rfshir</w:t>
      </w:r>
      <w:r w:rsidR="00665016" w:rsidRPr="00051667">
        <w:rPr>
          <w:rFonts w:ascii="Times New Roman" w:hAnsi="Times New Roman" w:cs="Times New Roman"/>
          <w:noProof/>
        </w:rPr>
        <w:t>ë</w:t>
      </w:r>
      <w:r w:rsidRPr="00051667">
        <w:rPr>
          <w:rFonts w:ascii="Times New Roman" w:hAnsi="Times New Roman" w:cs="Times New Roman"/>
          <w:noProof/>
        </w:rPr>
        <w:t>, t</w:t>
      </w:r>
      <w:r w:rsidR="00665016" w:rsidRPr="00051667">
        <w:rPr>
          <w:rFonts w:ascii="Times New Roman" w:hAnsi="Times New Roman" w:cs="Times New Roman"/>
          <w:noProof/>
        </w:rPr>
        <w:t>ë</w:t>
      </w:r>
      <w:r w:rsidRPr="00051667">
        <w:rPr>
          <w:rFonts w:ascii="Times New Roman" w:hAnsi="Times New Roman" w:cs="Times New Roman"/>
          <w:noProof/>
        </w:rPr>
        <w:t xml:space="preserve">  dhëna tregtare dhe mbi pron</w:t>
      </w:r>
      <w:r w:rsidR="00665016" w:rsidRPr="00051667">
        <w:rPr>
          <w:rFonts w:ascii="Times New Roman" w:hAnsi="Times New Roman" w:cs="Times New Roman"/>
          <w:noProof/>
        </w:rPr>
        <w:t>ë</w:t>
      </w:r>
      <w:r w:rsidRPr="00051667">
        <w:rPr>
          <w:rFonts w:ascii="Times New Roman" w:hAnsi="Times New Roman" w:cs="Times New Roman"/>
          <w:noProof/>
        </w:rPr>
        <w:t>sin</w:t>
      </w:r>
      <w:r w:rsidR="00665016" w:rsidRPr="00051667">
        <w:rPr>
          <w:rFonts w:ascii="Times New Roman" w:hAnsi="Times New Roman" w:cs="Times New Roman"/>
          <w:noProof/>
        </w:rPr>
        <w:t>ë</w:t>
      </w:r>
      <w:r w:rsidRPr="00051667">
        <w:rPr>
          <w:rFonts w:ascii="Times New Roman" w:hAnsi="Times New Roman" w:cs="Times New Roman"/>
          <w:noProof/>
        </w:rPr>
        <w:t xml:space="preserve">, garanci prudenciale, përshtatshmëri të strukturës drejtuese dhe aksionarëve, politika </w:t>
      </w:r>
      <w:r w:rsidR="00A91044" w:rsidRPr="00051667">
        <w:rPr>
          <w:rFonts w:ascii="Times New Roman" w:hAnsi="Times New Roman" w:cs="Times New Roman"/>
          <w:noProof/>
        </w:rPr>
        <w:t>d</w:t>
      </w:r>
      <w:r w:rsidRPr="00051667">
        <w:rPr>
          <w:rFonts w:ascii="Times New Roman" w:hAnsi="Times New Roman" w:cs="Times New Roman"/>
          <w:noProof/>
        </w:rPr>
        <w:t>he rregulla n</w:t>
      </w:r>
      <w:r w:rsidR="00665016" w:rsidRPr="00051667">
        <w:rPr>
          <w:rFonts w:ascii="Times New Roman" w:hAnsi="Times New Roman" w:cs="Times New Roman"/>
          <w:noProof/>
        </w:rPr>
        <w:t>ë</w:t>
      </w:r>
      <w:r w:rsidRPr="00051667">
        <w:rPr>
          <w:rFonts w:ascii="Times New Roman" w:hAnsi="Times New Roman" w:cs="Times New Roman"/>
          <w:noProof/>
        </w:rPr>
        <w:t xml:space="preserve"> kuad</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parandalimit t</w:t>
      </w:r>
      <w:r w:rsidR="00665016" w:rsidRPr="00051667">
        <w:rPr>
          <w:rFonts w:ascii="Times New Roman" w:hAnsi="Times New Roman" w:cs="Times New Roman"/>
          <w:noProof/>
        </w:rPr>
        <w:t>ë</w:t>
      </w:r>
      <w:r w:rsidRPr="00051667">
        <w:rPr>
          <w:rFonts w:ascii="Times New Roman" w:hAnsi="Times New Roman" w:cs="Times New Roman"/>
          <w:noProof/>
        </w:rPr>
        <w:t xml:space="preserve"> pastrimit t</w:t>
      </w:r>
      <w:r w:rsidR="00665016" w:rsidRPr="00051667">
        <w:rPr>
          <w:rFonts w:ascii="Times New Roman" w:hAnsi="Times New Roman" w:cs="Times New Roman"/>
          <w:noProof/>
        </w:rPr>
        <w:t>ë</w:t>
      </w:r>
      <w:r w:rsidRPr="00051667">
        <w:rPr>
          <w:rFonts w:ascii="Times New Roman" w:hAnsi="Times New Roman" w:cs="Times New Roman"/>
          <w:noProof/>
        </w:rPr>
        <w:t xml:space="preserve"> parave dhe financimit t</w:t>
      </w:r>
      <w:r w:rsidR="00665016" w:rsidRPr="00051667">
        <w:rPr>
          <w:rFonts w:ascii="Times New Roman" w:hAnsi="Times New Roman" w:cs="Times New Roman"/>
          <w:noProof/>
        </w:rPr>
        <w:t>ë</w:t>
      </w:r>
      <w:r w:rsidRPr="00051667">
        <w:rPr>
          <w:rFonts w:ascii="Times New Roman" w:hAnsi="Times New Roman" w:cs="Times New Roman"/>
          <w:noProof/>
        </w:rPr>
        <w:t xml:space="preserve"> terrorizmit, politika dhe rregulla n</w:t>
      </w:r>
      <w:r w:rsidR="00665016" w:rsidRPr="00051667">
        <w:rPr>
          <w:rFonts w:ascii="Times New Roman" w:hAnsi="Times New Roman" w:cs="Times New Roman"/>
          <w:noProof/>
        </w:rPr>
        <w:t>ë</w:t>
      </w:r>
      <w:r w:rsidRPr="00051667">
        <w:rPr>
          <w:rFonts w:ascii="Times New Roman" w:hAnsi="Times New Roman" w:cs="Times New Roman"/>
          <w:noProof/>
        </w:rPr>
        <w:t xml:space="preserve"> kuad</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siguris</w:t>
      </w:r>
      <w:r w:rsidR="00665016" w:rsidRPr="00051667">
        <w:rPr>
          <w:rFonts w:ascii="Times New Roman" w:hAnsi="Times New Roman" w:cs="Times New Roman"/>
          <w:noProof/>
        </w:rPr>
        <w:t>ë</w:t>
      </w:r>
      <w:r w:rsidRPr="00051667">
        <w:rPr>
          <w:rFonts w:ascii="Times New Roman" w:hAnsi="Times New Roman" w:cs="Times New Roman"/>
          <w:noProof/>
        </w:rPr>
        <w:t xml:space="preserve"> kibernetike dhe operacionale, rregulla p</w:t>
      </w:r>
      <w:r w:rsidR="00665016" w:rsidRPr="00051667">
        <w:rPr>
          <w:rFonts w:ascii="Times New Roman" w:hAnsi="Times New Roman" w:cs="Times New Roman"/>
          <w:noProof/>
        </w:rPr>
        <w:t>ë</w:t>
      </w:r>
      <w:r w:rsidRPr="00051667">
        <w:rPr>
          <w:rFonts w:ascii="Times New Roman" w:hAnsi="Times New Roman" w:cs="Times New Roman"/>
          <w:noProof/>
        </w:rPr>
        <w:t>r veçimin e aseteve, etj.</w:t>
      </w:r>
    </w:p>
    <w:p w14:paraId="357111C6" w14:textId="77777777" w:rsidR="00335E96" w:rsidRDefault="00335E96" w:rsidP="00051667">
      <w:pPr>
        <w:spacing w:after="0" w:line="276" w:lineRule="auto"/>
        <w:jc w:val="both"/>
        <w:rPr>
          <w:rFonts w:ascii="Times New Roman" w:hAnsi="Times New Roman" w:cs="Times New Roman"/>
          <w:noProof/>
        </w:rPr>
      </w:pPr>
    </w:p>
    <w:p w14:paraId="68493A41" w14:textId="2825549E" w:rsidR="00335E96" w:rsidRPr="00051667" w:rsidRDefault="00335E96" w:rsidP="00051667">
      <w:pPr>
        <w:spacing w:after="0" w:line="276" w:lineRule="auto"/>
        <w:jc w:val="both"/>
        <w:rPr>
          <w:rFonts w:ascii="Times New Roman" w:hAnsi="Times New Roman" w:cs="Times New Roman"/>
          <w:noProof/>
        </w:rPr>
      </w:pPr>
      <w:r w:rsidRPr="00335E96">
        <w:rPr>
          <w:rFonts w:ascii="Times New Roman" w:hAnsi="Times New Roman" w:cs="Times New Roman"/>
          <w:noProof/>
        </w:rPr>
        <w:t xml:space="preserve">Neni 63 përcakton procedurën dhe afatet për shqyrtimin e kërkesave të autorizimit si ofrues i shërbimeve për kripto-asete, duke përfshirë njoftimin e marrjes brenda 5 ditëve pune, verifikimin e plotësisë brenda 25 ditëve pune me kërkesë për plotësime dhe refuzim kur mungojnë dokumente, konfirmimin e plotësisë, konsultimet paraprake me autoritetet përkatëse dhe organet kundër pastrimit të parave, </w:t>
      </w:r>
      <w:r>
        <w:rPr>
          <w:rFonts w:ascii="Times New Roman" w:hAnsi="Times New Roman" w:cs="Times New Roman"/>
          <w:noProof/>
        </w:rPr>
        <w:t xml:space="preserve">si dhe </w:t>
      </w:r>
      <w:r w:rsidRPr="00335E96">
        <w:rPr>
          <w:rFonts w:ascii="Times New Roman" w:hAnsi="Times New Roman" w:cs="Times New Roman"/>
          <w:noProof/>
        </w:rPr>
        <w:t>arsyet objektive të refuzimit</w:t>
      </w:r>
      <w:r>
        <w:rPr>
          <w:rFonts w:ascii="Times New Roman" w:hAnsi="Times New Roman" w:cs="Times New Roman"/>
          <w:noProof/>
        </w:rPr>
        <w:t xml:space="preserve"> të kërkesës pë autorizim. </w:t>
      </w:r>
    </w:p>
    <w:p w14:paraId="03E17ED9" w14:textId="77777777" w:rsidR="00FB52CF" w:rsidRDefault="00FB52CF" w:rsidP="00051667">
      <w:pPr>
        <w:spacing w:after="0" w:line="276" w:lineRule="auto"/>
        <w:jc w:val="both"/>
        <w:rPr>
          <w:rFonts w:ascii="Times New Roman" w:hAnsi="Times New Roman" w:cs="Times New Roman"/>
          <w:noProof/>
        </w:rPr>
      </w:pPr>
    </w:p>
    <w:p w14:paraId="058B5652" w14:textId="1A212051" w:rsidR="006B1FDD" w:rsidRPr="00051667" w:rsidRDefault="006B1FDD" w:rsidP="00051667">
      <w:pPr>
        <w:spacing w:after="0" w:line="276" w:lineRule="auto"/>
        <w:jc w:val="both"/>
        <w:rPr>
          <w:rFonts w:ascii="Times New Roman" w:hAnsi="Times New Roman" w:cs="Times New Roman"/>
          <w:noProof/>
        </w:rPr>
      </w:pPr>
      <w:commentRangeStart w:id="0"/>
      <w:r w:rsidRPr="00051667">
        <w:rPr>
          <w:rFonts w:ascii="Times New Roman" w:hAnsi="Times New Roman" w:cs="Times New Roman"/>
          <w:noProof/>
        </w:rPr>
        <w:t>Neni 64</w:t>
      </w:r>
      <w:commentRangeEnd w:id="0"/>
      <w:r w:rsidR="00FB52CF">
        <w:rPr>
          <w:rStyle w:val="CommentReference"/>
          <w:rFonts w:eastAsiaTheme="minorEastAsia"/>
          <w:kern w:val="0"/>
          <w14:ligatures w14:val="none"/>
        </w:rPr>
        <w:commentReference w:id="0"/>
      </w:r>
      <w:r w:rsidRPr="00051667">
        <w:rPr>
          <w:rFonts w:ascii="Times New Roman" w:hAnsi="Times New Roman" w:cs="Times New Roman"/>
          <w:noProof/>
        </w:rPr>
        <w:t xml:space="preserve"> përcakton rastet e revokimit të autorizimit, konsultimet paraprake kur është e nevojshme dhe detyrimin për transferim të rregullt e pa vonesa të aseteve/fondeve të klientëve.</w:t>
      </w:r>
    </w:p>
    <w:p w14:paraId="39244BA8" w14:textId="77777777" w:rsidR="00FB52CF" w:rsidRDefault="00FB52CF" w:rsidP="00051667">
      <w:pPr>
        <w:spacing w:after="0" w:line="276" w:lineRule="auto"/>
        <w:jc w:val="both"/>
        <w:rPr>
          <w:rFonts w:ascii="Times New Roman" w:hAnsi="Times New Roman" w:cs="Times New Roman"/>
          <w:noProof/>
        </w:rPr>
      </w:pPr>
    </w:p>
    <w:p w14:paraId="4D7B2CE1" w14:textId="7CCBFFE1"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65 përcakton rregullat për ofrimin ndërkufitar të shërbimeve të kripto-aseteve, njoftimin e autoriteteve pritëse brenda 10 ditësh dhe kushtin që veprimtaria të nisë vetëm pas procedurave të licencimit/autorizimit në juridiksionin pritës.</w:t>
      </w:r>
    </w:p>
    <w:p w14:paraId="58CA7865" w14:textId="77777777" w:rsidR="00FB52CF"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Seksioni II i Kreut V p</w:t>
      </w:r>
      <w:r w:rsidR="00665016" w:rsidRPr="00051667">
        <w:rPr>
          <w:rFonts w:ascii="Times New Roman" w:hAnsi="Times New Roman" w:cs="Times New Roman"/>
          <w:noProof/>
        </w:rPr>
        <w:t>ë</w:t>
      </w:r>
      <w:r w:rsidRPr="00051667">
        <w:rPr>
          <w:rFonts w:ascii="Times New Roman" w:hAnsi="Times New Roman" w:cs="Times New Roman"/>
          <w:noProof/>
        </w:rPr>
        <w:t>rcakton kushtet e p</w:t>
      </w:r>
      <w:r w:rsidR="00665016" w:rsidRPr="00051667">
        <w:rPr>
          <w:rFonts w:ascii="Times New Roman" w:hAnsi="Times New Roman" w:cs="Times New Roman"/>
          <w:noProof/>
        </w:rPr>
        <w:t>ë</w:t>
      </w:r>
      <w:r w:rsidRPr="00051667">
        <w:rPr>
          <w:rFonts w:ascii="Times New Roman" w:hAnsi="Times New Roman" w:cs="Times New Roman"/>
          <w:noProof/>
        </w:rPr>
        <w:t>rgjithshme p</w:t>
      </w:r>
      <w:r w:rsidR="00665016" w:rsidRPr="00051667">
        <w:rPr>
          <w:rFonts w:ascii="Times New Roman" w:hAnsi="Times New Roman" w:cs="Times New Roman"/>
          <w:noProof/>
        </w:rPr>
        <w:t>ë</w:t>
      </w:r>
      <w:r w:rsidRPr="00051667">
        <w:rPr>
          <w:rFonts w:ascii="Times New Roman" w:hAnsi="Times New Roman" w:cs="Times New Roman"/>
          <w:noProof/>
        </w:rPr>
        <w:t>r ofrimin 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w:t>
      </w:r>
    </w:p>
    <w:p w14:paraId="565DAA67" w14:textId="77777777" w:rsidR="00FB52CF" w:rsidRDefault="00FB52CF" w:rsidP="00051667">
      <w:pPr>
        <w:spacing w:after="0" w:line="276" w:lineRule="auto"/>
        <w:jc w:val="both"/>
        <w:rPr>
          <w:rFonts w:ascii="Times New Roman" w:hAnsi="Times New Roman" w:cs="Times New Roman"/>
          <w:noProof/>
        </w:rPr>
      </w:pPr>
    </w:p>
    <w:p w14:paraId="09758A36" w14:textId="6A799BD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66 përcakton detyrimin që ofruesit të veprojnë me ndershmëri, integritet dhe profesionalizëm në interesin më të mirë të klientit.</w:t>
      </w:r>
    </w:p>
    <w:p w14:paraId="75E61620" w14:textId="77777777" w:rsidR="00FB52CF" w:rsidRDefault="00FB52CF" w:rsidP="00051667">
      <w:pPr>
        <w:spacing w:after="0" w:line="276" w:lineRule="auto"/>
        <w:jc w:val="both"/>
        <w:rPr>
          <w:rFonts w:ascii="Times New Roman" w:hAnsi="Times New Roman" w:cs="Times New Roman"/>
          <w:noProof/>
        </w:rPr>
      </w:pPr>
    </w:p>
    <w:p w14:paraId="7D43DE41" w14:textId="625F1CF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67 përcakton kërkesat prudenciale të kapitalit, mënyrën e llogaritjes dhe mundësinë e mbulimit përmes fondeve të veta dhe/ose policës së sigurimit me elementë e mbulim të detajuar.</w:t>
      </w:r>
    </w:p>
    <w:p w14:paraId="6C93F3D1" w14:textId="77777777" w:rsidR="00FB52CF" w:rsidRDefault="00FB52CF" w:rsidP="00051667">
      <w:pPr>
        <w:spacing w:after="0" w:line="276" w:lineRule="auto"/>
        <w:jc w:val="both"/>
        <w:rPr>
          <w:rFonts w:ascii="Times New Roman" w:hAnsi="Times New Roman" w:cs="Times New Roman"/>
          <w:noProof/>
        </w:rPr>
      </w:pPr>
    </w:p>
    <w:p w14:paraId="2FB25D00" w14:textId="16EBBBE5"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68 përcakton politikat e qeverisjes: përshtatshmërinë dhe reputacionin e organit drejtues/aksionarëve me pjesëmarrje influencuese, strukturat dhe procedurat e pajtueshmërisë, vazhdimësinë e biznesit/TIK, menaxhimin e rrezikut (përfshirë parandalimin e pastrimit t</w:t>
      </w:r>
      <w:r w:rsidR="00665016" w:rsidRPr="00051667">
        <w:rPr>
          <w:rFonts w:ascii="Times New Roman" w:hAnsi="Times New Roman" w:cs="Times New Roman"/>
          <w:noProof/>
        </w:rPr>
        <w:t>ë</w:t>
      </w:r>
      <w:r w:rsidRPr="00051667">
        <w:rPr>
          <w:rFonts w:ascii="Times New Roman" w:hAnsi="Times New Roman" w:cs="Times New Roman"/>
          <w:noProof/>
        </w:rPr>
        <w:t xml:space="preserve"> parave dhe financimit t</w:t>
      </w:r>
      <w:r w:rsidR="00665016" w:rsidRPr="00051667">
        <w:rPr>
          <w:rFonts w:ascii="Times New Roman" w:hAnsi="Times New Roman" w:cs="Times New Roman"/>
          <w:noProof/>
        </w:rPr>
        <w:t>ë</w:t>
      </w:r>
      <w:r w:rsidRPr="00051667">
        <w:rPr>
          <w:rFonts w:ascii="Times New Roman" w:hAnsi="Times New Roman" w:cs="Times New Roman"/>
          <w:noProof/>
        </w:rPr>
        <w:t xml:space="preserve"> terrozimit), ruajtjen e të dhënave dhe rishikimet periodike nga organi drejtues.</w:t>
      </w:r>
    </w:p>
    <w:p w14:paraId="5105F0EB" w14:textId="77777777" w:rsidR="00FB52CF" w:rsidRDefault="00FB52CF" w:rsidP="00051667">
      <w:pPr>
        <w:spacing w:after="0" w:line="276" w:lineRule="auto"/>
        <w:jc w:val="both"/>
        <w:rPr>
          <w:rFonts w:ascii="Times New Roman" w:hAnsi="Times New Roman" w:cs="Times New Roman"/>
          <w:noProof/>
        </w:rPr>
      </w:pPr>
    </w:p>
    <w:p w14:paraId="68A6865D" w14:textId="02FD788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69 përcakton detyrimin për të njoftuar pa vonesë AMF për çdo ndryshim në organin drejtues dhe dërgimin e informacionit për vlerësim të përshtatshmërisë sipas nenit 68.</w:t>
      </w:r>
    </w:p>
    <w:p w14:paraId="2C49D00C" w14:textId="77777777" w:rsidR="00FB52CF" w:rsidRDefault="00FB52CF" w:rsidP="00051667">
      <w:pPr>
        <w:spacing w:after="0" w:line="276" w:lineRule="auto"/>
        <w:jc w:val="both"/>
        <w:rPr>
          <w:rFonts w:ascii="Times New Roman" w:hAnsi="Times New Roman" w:cs="Times New Roman"/>
          <w:noProof/>
        </w:rPr>
      </w:pPr>
    </w:p>
    <w:p w14:paraId="577D94EC" w14:textId="6BF8365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70 përcakton rregullat për ruajtjen e kripto-aseteve dhe fondeve të klientëve t</w:t>
      </w:r>
      <w:r w:rsidR="00665016" w:rsidRPr="00051667">
        <w:rPr>
          <w:rFonts w:ascii="Times New Roman" w:hAnsi="Times New Roman" w:cs="Times New Roman"/>
          <w:noProof/>
        </w:rPr>
        <w:t>ë</w:t>
      </w:r>
      <w:r w:rsidRPr="00051667">
        <w:rPr>
          <w:rFonts w:ascii="Times New Roman" w:hAnsi="Times New Roman" w:cs="Times New Roman"/>
          <w:noProof/>
        </w:rPr>
        <w:t xml:space="preserve"> cilat p</w:t>
      </w:r>
      <w:r w:rsidR="00665016" w:rsidRPr="00051667">
        <w:rPr>
          <w:rFonts w:ascii="Times New Roman" w:hAnsi="Times New Roman" w:cs="Times New Roman"/>
          <w:noProof/>
        </w:rPr>
        <w:t>ë</w:t>
      </w:r>
      <w:r w:rsidRPr="00051667">
        <w:rPr>
          <w:rFonts w:ascii="Times New Roman" w:hAnsi="Times New Roman" w:cs="Times New Roman"/>
          <w:noProof/>
        </w:rPr>
        <w:t>rfshirjn</w:t>
      </w:r>
      <w:r w:rsidR="00665016" w:rsidRPr="00051667">
        <w:rPr>
          <w:rFonts w:ascii="Times New Roman" w:hAnsi="Times New Roman" w:cs="Times New Roman"/>
          <w:noProof/>
        </w:rPr>
        <w:t>ë</w:t>
      </w:r>
      <w:r w:rsidRPr="00051667">
        <w:rPr>
          <w:rFonts w:ascii="Times New Roman" w:hAnsi="Times New Roman" w:cs="Times New Roman"/>
          <w:noProof/>
        </w:rPr>
        <w:t xml:space="preserve"> rregulla p</w:t>
      </w:r>
      <w:r w:rsidR="00665016" w:rsidRPr="00051667">
        <w:rPr>
          <w:rFonts w:ascii="Times New Roman" w:hAnsi="Times New Roman" w:cs="Times New Roman"/>
          <w:noProof/>
        </w:rPr>
        <w:t>ë</w:t>
      </w:r>
      <w:r w:rsidRPr="00051667">
        <w:rPr>
          <w:rFonts w:ascii="Times New Roman" w:hAnsi="Times New Roman" w:cs="Times New Roman"/>
          <w:noProof/>
        </w:rPr>
        <w:t>r veçimin e aseteve dhe fondeve, mbrojtjen e pronësisë, depozitimin brenda 1 dite pune në institucione krediti/bankë qendrore dhe transparencë për shërbimet e pagesave.</w:t>
      </w:r>
    </w:p>
    <w:p w14:paraId="0CB240B1" w14:textId="77777777" w:rsidR="00FB52CF" w:rsidRDefault="00FB52CF" w:rsidP="00051667">
      <w:pPr>
        <w:spacing w:after="0" w:line="276" w:lineRule="auto"/>
        <w:jc w:val="both"/>
        <w:rPr>
          <w:rFonts w:ascii="Times New Roman" w:hAnsi="Times New Roman" w:cs="Times New Roman"/>
          <w:noProof/>
        </w:rPr>
      </w:pPr>
    </w:p>
    <w:p w14:paraId="07C6F43C" w14:textId="26BF1C6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71 përcakton detyrimin p</w:t>
      </w:r>
      <w:r w:rsidR="00665016" w:rsidRPr="00051667">
        <w:rPr>
          <w:rFonts w:ascii="Times New Roman" w:hAnsi="Times New Roman" w:cs="Times New Roman"/>
          <w:noProof/>
        </w:rPr>
        <w:t>ë</w:t>
      </w:r>
      <w:r w:rsidRPr="00051667">
        <w:rPr>
          <w:rFonts w:ascii="Times New Roman" w:hAnsi="Times New Roman" w:cs="Times New Roman"/>
          <w:noProof/>
        </w:rPr>
        <w:t>r hartimin dhe implementimin e procedurave efektive e transparente për trajtimin e ankesave.</w:t>
      </w:r>
    </w:p>
    <w:p w14:paraId="1BBE5CD9" w14:textId="77777777" w:rsidR="00FB52CF" w:rsidRDefault="00FB52CF" w:rsidP="00051667">
      <w:pPr>
        <w:spacing w:after="0" w:line="276" w:lineRule="auto"/>
        <w:jc w:val="both"/>
        <w:rPr>
          <w:rFonts w:ascii="Times New Roman" w:hAnsi="Times New Roman" w:cs="Times New Roman"/>
          <w:noProof/>
        </w:rPr>
      </w:pPr>
    </w:p>
    <w:p w14:paraId="769454BF" w14:textId="2D68778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72 përcakton kornizën për identifikimin, parandalimin, menaxhimin dhe zbulimin e konflikteve të interesit, ku p</w:t>
      </w:r>
      <w:r w:rsidR="00665016" w:rsidRPr="00051667">
        <w:rPr>
          <w:rFonts w:ascii="Times New Roman" w:hAnsi="Times New Roman" w:cs="Times New Roman"/>
          <w:noProof/>
        </w:rPr>
        <w:t>ë</w:t>
      </w:r>
      <w:r w:rsidRPr="00051667">
        <w:rPr>
          <w:rFonts w:ascii="Times New Roman" w:hAnsi="Times New Roman" w:cs="Times New Roman"/>
          <w:noProof/>
        </w:rPr>
        <w:t>rfshihen detyrimet p</w:t>
      </w:r>
      <w:r w:rsidR="00665016" w:rsidRPr="00051667">
        <w:rPr>
          <w:rFonts w:ascii="Times New Roman" w:hAnsi="Times New Roman" w:cs="Times New Roman"/>
          <w:noProof/>
        </w:rPr>
        <w:t>ë</w:t>
      </w:r>
      <w:r w:rsidRPr="00051667">
        <w:rPr>
          <w:rFonts w:ascii="Times New Roman" w:hAnsi="Times New Roman" w:cs="Times New Roman"/>
          <w:noProof/>
        </w:rPr>
        <w:t>r publikim të natyrës ose burimeve t</w:t>
      </w:r>
      <w:r w:rsidR="00665016" w:rsidRPr="00051667">
        <w:rPr>
          <w:rFonts w:ascii="Times New Roman" w:hAnsi="Times New Roman" w:cs="Times New Roman"/>
          <w:noProof/>
        </w:rPr>
        <w:t>ë</w:t>
      </w:r>
      <w:r w:rsidRPr="00051667">
        <w:rPr>
          <w:rFonts w:ascii="Times New Roman" w:hAnsi="Times New Roman" w:cs="Times New Roman"/>
          <w:noProof/>
        </w:rPr>
        <w:t xml:space="preserve"> konfliktit t</w:t>
      </w:r>
      <w:r w:rsidR="00665016" w:rsidRPr="00051667">
        <w:rPr>
          <w:rFonts w:ascii="Times New Roman" w:hAnsi="Times New Roman" w:cs="Times New Roman"/>
          <w:noProof/>
        </w:rPr>
        <w:t>ë</w:t>
      </w:r>
      <w:r w:rsidRPr="00051667">
        <w:rPr>
          <w:rFonts w:ascii="Times New Roman" w:hAnsi="Times New Roman" w:cs="Times New Roman"/>
          <w:noProof/>
        </w:rPr>
        <w:t xml:space="preserve"> interesave, m</w:t>
      </w:r>
      <w:r w:rsidR="00665016" w:rsidRPr="00051667">
        <w:rPr>
          <w:rFonts w:ascii="Times New Roman" w:hAnsi="Times New Roman" w:cs="Times New Roman"/>
          <w:noProof/>
        </w:rPr>
        <w:t>ë</w:t>
      </w:r>
      <w:r w:rsidRPr="00051667">
        <w:rPr>
          <w:rFonts w:ascii="Times New Roman" w:hAnsi="Times New Roman" w:cs="Times New Roman"/>
          <w:noProof/>
        </w:rPr>
        <w:t>nyr</w:t>
      </w:r>
      <w:r w:rsidR="00665016" w:rsidRPr="00051667">
        <w:rPr>
          <w:rFonts w:ascii="Times New Roman" w:hAnsi="Times New Roman" w:cs="Times New Roman"/>
          <w:noProof/>
        </w:rPr>
        <w:t>ë</w:t>
      </w:r>
      <w:r w:rsidRPr="00051667">
        <w:rPr>
          <w:rFonts w:ascii="Times New Roman" w:hAnsi="Times New Roman" w:cs="Times New Roman"/>
          <w:noProof/>
        </w:rPr>
        <w:t>s s</w:t>
      </w:r>
      <w:r w:rsidR="00665016" w:rsidRPr="00051667">
        <w:rPr>
          <w:rFonts w:ascii="Times New Roman" w:hAnsi="Times New Roman" w:cs="Times New Roman"/>
          <w:noProof/>
        </w:rPr>
        <w:t>ë</w:t>
      </w:r>
      <w:r w:rsidRPr="00051667">
        <w:rPr>
          <w:rFonts w:ascii="Times New Roman" w:hAnsi="Times New Roman" w:cs="Times New Roman"/>
          <w:noProof/>
        </w:rPr>
        <w:t xml:space="preserve"> trajtimit t</w:t>
      </w:r>
      <w:r w:rsidR="00665016" w:rsidRPr="00051667">
        <w:rPr>
          <w:rFonts w:ascii="Times New Roman" w:hAnsi="Times New Roman" w:cs="Times New Roman"/>
          <w:noProof/>
        </w:rPr>
        <w:t>ë</w:t>
      </w:r>
      <w:r w:rsidRPr="00051667">
        <w:rPr>
          <w:rFonts w:ascii="Times New Roman" w:hAnsi="Times New Roman" w:cs="Times New Roman"/>
          <w:noProof/>
        </w:rPr>
        <w:t xml:space="preserve"> tyre  dhe rishikim vjetor të politikave. </w:t>
      </w:r>
    </w:p>
    <w:p w14:paraId="286EAE68" w14:textId="77777777" w:rsidR="00FB52CF" w:rsidRDefault="00FB52CF" w:rsidP="00051667">
      <w:pPr>
        <w:spacing w:after="0" w:line="276" w:lineRule="auto"/>
        <w:jc w:val="both"/>
        <w:rPr>
          <w:rFonts w:ascii="Times New Roman" w:hAnsi="Times New Roman" w:cs="Times New Roman"/>
          <w:noProof/>
        </w:rPr>
      </w:pPr>
    </w:p>
    <w:p w14:paraId="33841102" w14:textId="70FCAC6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73 përcakton kushtet e delegimit t</w:t>
      </w:r>
      <w:r w:rsidR="00665016" w:rsidRPr="00051667">
        <w:rPr>
          <w:rFonts w:ascii="Times New Roman" w:hAnsi="Times New Roman" w:cs="Times New Roman"/>
          <w:noProof/>
        </w:rPr>
        <w:t>ë</w:t>
      </w:r>
      <w:r w:rsidRPr="00051667">
        <w:rPr>
          <w:rFonts w:ascii="Times New Roman" w:hAnsi="Times New Roman" w:cs="Times New Roman"/>
          <w:noProof/>
        </w:rPr>
        <w:t xml:space="preserve"> funksioneve ose detyrave t</w:t>
      </w:r>
      <w:r w:rsidR="00665016" w:rsidRPr="00051667">
        <w:rPr>
          <w:rFonts w:ascii="Times New Roman" w:hAnsi="Times New Roman" w:cs="Times New Roman"/>
          <w:noProof/>
        </w:rPr>
        <w:t>ë</w:t>
      </w:r>
      <w:r w:rsidRPr="00051667">
        <w:rPr>
          <w:rFonts w:ascii="Times New Roman" w:hAnsi="Times New Roman" w:cs="Times New Roman"/>
          <w:noProof/>
        </w:rPr>
        <w:t xml:space="preserve"> cilat n</w:t>
      </w:r>
      <w:r w:rsidR="00665016" w:rsidRPr="00051667">
        <w:rPr>
          <w:rFonts w:ascii="Times New Roman" w:hAnsi="Times New Roman" w:cs="Times New Roman"/>
          <w:noProof/>
        </w:rPr>
        <w:t>ë</w:t>
      </w:r>
      <w:r w:rsidRPr="00051667">
        <w:rPr>
          <w:rFonts w:ascii="Times New Roman" w:hAnsi="Times New Roman" w:cs="Times New Roman"/>
          <w:noProof/>
        </w:rPr>
        <w:t xml:space="preserve"> asnje rast nuk sharkojn</w:t>
      </w:r>
      <w:r w:rsidR="00665016" w:rsidRPr="00051667">
        <w:rPr>
          <w:rFonts w:ascii="Times New Roman" w:hAnsi="Times New Roman" w:cs="Times New Roman"/>
          <w:noProof/>
        </w:rPr>
        <w:t>ë</w:t>
      </w:r>
      <w:r w:rsidRPr="00051667">
        <w:rPr>
          <w:rFonts w:ascii="Times New Roman" w:hAnsi="Times New Roman" w:cs="Times New Roman"/>
          <w:noProof/>
        </w:rPr>
        <w:t xml:space="preserve"> nga p</w:t>
      </w:r>
      <w:r w:rsidR="00665016" w:rsidRPr="00051667">
        <w:rPr>
          <w:rFonts w:ascii="Times New Roman" w:hAnsi="Times New Roman" w:cs="Times New Roman"/>
          <w:noProof/>
        </w:rPr>
        <w:t>ë</w:t>
      </w:r>
      <w:r w:rsidRPr="00051667">
        <w:rPr>
          <w:rFonts w:ascii="Times New Roman" w:hAnsi="Times New Roman" w:cs="Times New Roman"/>
          <w:noProof/>
        </w:rPr>
        <w:t>rgjegj</w:t>
      </w:r>
      <w:r w:rsidR="00665016" w:rsidRPr="00051667">
        <w:rPr>
          <w:rFonts w:ascii="Times New Roman" w:hAnsi="Times New Roman" w:cs="Times New Roman"/>
          <w:noProof/>
        </w:rPr>
        <w:t>ë</w:t>
      </w:r>
      <w:r w:rsidRPr="00051667">
        <w:rPr>
          <w:rFonts w:ascii="Times New Roman" w:hAnsi="Times New Roman" w:cs="Times New Roman"/>
          <w:noProof/>
        </w:rPr>
        <w:t>sia ligjore ofruesin e autorizuar, garantojn</w:t>
      </w:r>
      <w:r w:rsidR="00665016" w:rsidRPr="00051667">
        <w:rPr>
          <w:rFonts w:ascii="Times New Roman" w:hAnsi="Times New Roman" w:cs="Times New Roman"/>
          <w:noProof/>
        </w:rPr>
        <w:t>ë</w:t>
      </w:r>
      <w:r w:rsidRPr="00051667">
        <w:rPr>
          <w:rFonts w:ascii="Times New Roman" w:hAnsi="Times New Roman" w:cs="Times New Roman"/>
          <w:noProof/>
        </w:rPr>
        <w:t xml:space="preserve"> akses t</w:t>
      </w:r>
      <w:r w:rsidR="00665016" w:rsidRPr="00051667">
        <w:rPr>
          <w:rFonts w:ascii="Times New Roman" w:hAnsi="Times New Roman" w:cs="Times New Roman"/>
          <w:noProof/>
        </w:rPr>
        <w:t>ë</w:t>
      </w:r>
      <w:r w:rsidRPr="00051667">
        <w:rPr>
          <w:rFonts w:ascii="Times New Roman" w:hAnsi="Times New Roman" w:cs="Times New Roman"/>
          <w:noProof/>
        </w:rPr>
        <w:t xml:space="preserve"> pakusht</w:t>
      </w:r>
      <w:r w:rsidR="00665016" w:rsidRPr="00051667">
        <w:rPr>
          <w:rFonts w:ascii="Times New Roman" w:hAnsi="Times New Roman" w:cs="Times New Roman"/>
          <w:noProof/>
        </w:rPr>
        <w:t>ë</w:t>
      </w:r>
      <w:r w:rsidRPr="00051667">
        <w:rPr>
          <w:rFonts w:ascii="Times New Roman" w:hAnsi="Times New Roman" w:cs="Times New Roman"/>
          <w:noProof/>
        </w:rPr>
        <w:t>zuar t</w:t>
      </w:r>
      <w:r w:rsidR="00665016" w:rsidRPr="00051667">
        <w:rPr>
          <w:rFonts w:ascii="Times New Roman" w:hAnsi="Times New Roman" w:cs="Times New Roman"/>
          <w:noProof/>
        </w:rPr>
        <w:t>ë</w:t>
      </w:r>
      <w:r w:rsidRPr="00051667">
        <w:rPr>
          <w:rFonts w:ascii="Times New Roman" w:hAnsi="Times New Roman" w:cs="Times New Roman"/>
          <w:noProof/>
        </w:rPr>
        <w:t xml:space="preserve"> informacionit nga ana e AMF dhe nuk ndikojn</w:t>
      </w:r>
      <w:r w:rsidR="00665016" w:rsidRPr="00051667">
        <w:rPr>
          <w:rFonts w:ascii="Times New Roman" w:hAnsi="Times New Roman" w:cs="Times New Roman"/>
          <w:noProof/>
        </w:rPr>
        <w:t>ë</w:t>
      </w:r>
      <w:r w:rsidRPr="00051667">
        <w:rPr>
          <w:rFonts w:ascii="Times New Roman" w:hAnsi="Times New Roman" w:cs="Times New Roman"/>
          <w:noProof/>
        </w:rPr>
        <w:t xml:space="preserve"> n</w:t>
      </w:r>
      <w:r w:rsidR="00665016" w:rsidRPr="00051667">
        <w:rPr>
          <w:rFonts w:ascii="Times New Roman" w:hAnsi="Times New Roman" w:cs="Times New Roman"/>
          <w:noProof/>
        </w:rPr>
        <w:t>ë</w:t>
      </w:r>
      <w:r w:rsidRPr="00051667">
        <w:rPr>
          <w:rFonts w:ascii="Times New Roman" w:hAnsi="Times New Roman" w:cs="Times New Roman"/>
          <w:noProof/>
        </w:rPr>
        <w:t xml:space="preserve"> kushtet e autorizimit t</w:t>
      </w:r>
      <w:r w:rsidR="00665016" w:rsidRPr="00051667">
        <w:rPr>
          <w:rFonts w:ascii="Times New Roman" w:hAnsi="Times New Roman" w:cs="Times New Roman"/>
          <w:noProof/>
        </w:rPr>
        <w:t>ë</w:t>
      </w:r>
      <w:r w:rsidRPr="00051667">
        <w:rPr>
          <w:rFonts w:ascii="Times New Roman" w:hAnsi="Times New Roman" w:cs="Times New Roman"/>
          <w:noProof/>
        </w:rPr>
        <w:t xml:space="preserve"> ofruestit t</w:t>
      </w:r>
      <w:r w:rsidR="00665016" w:rsidRPr="00051667">
        <w:rPr>
          <w:rFonts w:ascii="Times New Roman" w:hAnsi="Times New Roman" w:cs="Times New Roman"/>
          <w:noProof/>
        </w:rPr>
        <w:t>ë</w:t>
      </w:r>
      <w:r w:rsidRPr="00051667">
        <w:rPr>
          <w:rFonts w:ascii="Times New Roman" w:hAnsi="Times New Roman" w:cs="Times New Roman"/>
          <w:noProof/>
        </w:rPr>
        <w:t xml:space="preserv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w:t>
      </w:r>
    </w:p>
    <w:p w14:paraId="70CEBEC8" w14:textId="77777777" w:rsidR="00FB52CF" w:rsidRDefault="00FB52CF" w:rsidP="00051667">
      <w:pPr>
        <w:spacing w:after="0" w:line="276" w:lineRule="auto"/>
        <w:jc w:val="both"/>
        <w:rPr>
          <w:rFonts w:ascii="Times New Roman" w:hAnsi="Times New Roman" w:cs="Times New Roman"/>
          <w:noProof/>
        </w:rPr>
      </w:pPr>
    </w:p>
    <w:p w14:paraId="6C8D49AC" w14:textId="39258E3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74 përcakton detyrimin për një plan likuidimi vullnetar që siguron vijimësi ose rikuperim të aktiviteteve kritike dhe mbyllje të rregullt pa dëme të panevojshme për klientët.</w:t>
      </w:r>
    </w:p>
    <w:p w14:paraId="4E58F084" w14:textId="77777777" w:rsidR="00FB52CF" w:rsidRDefault="00FB52CF" w:rsidP="00051667">
      <w:pPr>
        <w:spacing w:after="0" w:line="276" w:lineRule="auto"/>
        <w:jc w:val="both"/>
        <w:rPr>
          <w:rFonts w:ascii="Times New Roman" w:hAnsi="Times New Roman" w:cs="Times New Roman"/>
          <w:noProof/>
        </w:rPr>
      </w:pPr>
    </w:p>
    <w:p w14:paraId="0350446C" w14:textId="4679EBD4"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75 përcakton rregullat e kujdestarisë dhe administrimit të portofoleve digjitale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për llogari të klientëve, përfshirë marrëveshjen me klient</w:t>
      </w:r>
      <w:r w:rsidR="00665016" w:rsidRPr="00051667">
        <w:rPr>
          <w:rFonts w:ascii="Times New Roman" w:hAnsi="Times New Roman" w:cs="Times New Roman"/>
          <w:noProof/>
        </w:rPr>
        <w:t>ë</w:t>
      </w:r>
      <w:r w:rsidRPr="00051667">
        <w:rPr>
          <w:rFonts w:ascii="Times New Roman" w:hAnsi="Times New Roman" w:cs="Times New Roman"/>
          <w:noProof/>
        </w:rPr>
        <w:t>t, mbajtjen e regjistrit t</w:t>
      </w:r>
      <w:r w:rsidR="00665016" w:rsidRPr="00051667">
        <w:rPr>
          <w:rFonts w:ascii="Times New Roman" w:hAnsi="Times New Roman" w:cs="Times New Roman"/>
          <w:noProof/>
        </w:rPr>
        <w:t>ë</w:t>
      </w:r>
      <w:r w:rsidRPr="00051667">
        <w:rPr>
          <w:rFonts w:ascii="Times New Roman" w:hAnsi="Times New Roman" w:cs="Times New Roman"/>
          <w:noProof/>
        </w:rPr>
        <w:t xml:space="preserve"> pozicioneve t</w:t>
      </w:r>
      <w:r w:rsidR="00665016" w:rsidRPr="00051667">
        <w:rPr>
          <w:rFonts w:ascii="Times New Roman" w:hAnsi="Times New Roman" w:cs="Times New Roman"/>
          <w:noProof/>
        </w:rPr>
        <w:t>ë</w:t>
      </w:r>
      <w:r w:rsidRPr="00051667">
        <w:rPr>
          <w:rFonts w:ascii="Times New Roman" w:hAnsi="Times New Roman" w:cs="Times New Roman"/>
          <w:noProof/>
        </w:rPr>
        <w:t xml:space="preserve"> klient</w:t>
      </w:r>
      <w:r w:rsidR="00665016" w:rsidRPr="00051667">
        <w:rPr>
          <w:rFonts w:ascii="Times New Roman" w:hAnsi="Times New Roman" w:cs="Times New Roman"/>
          <w:noProof/>
        </w:rPr>
        <w:t>ë</w:t>
      </w:r>
      <w:r w:rsidRPr="00051667">
        <w:rPr>
          <w:rFonts w:ascii="Times New Roman" w:hAnsi="Times New Roman" w:cs="Times New Roman"/>
          <w:noProof/>
        </w:rPr>
        <w:t>ve, politikat dhe rregullat e sigurisë, veçimin ligjor dhe operacional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dhe fondeve t</w:t>
      </w:r>
      <w:r w:rsidR="00665016" w:rsidRPr="00051667">
        <w:rPr>
          <w:rFonts w:ascii="Times New Roman" w:hAnsi="Times New Roman" w:cs="Times New Roman"/>
          <w:noProof/>
        </w:rPr>
        <w:t>ë</w:t>
      </w:r>
      <w:r w:rsidRPr="00051667">
        <w:rPr>
          <w:rFonts w:ascii="Times New Roman" w:hAnsi="Times New Roman" w:cs="Times New Roman"/>
          <w:noProof/>
        </w:rPr>
        <w:t xml:space="preserve"> klient</w:t>
      </w:r>
      <w:r w:rsidR="00665016" w:rsidRPr="00051667">
        <w:rPr>
          <w:rFonts w:ascii="Times New Roman" w:hAnsi="Times New Roman" w:cs="Times New Roman"/>
          <w:noProof/>
        </w:rPr>
        <w:t>ë</w:t>
      </w:r>
      <w:r w:rsidRPr="00051667">
        <w:rPr>
          <w:rFonts w:ascii="Times New Roman" w:hAnsi="Times New Roman" w:cs="Times New Roman"/>
          <w:noProof/>
        </w:rPr>
        <w:t xml:space="preserve">ve si dhe përgjegjësinë ligjore për humbjet e shkaktuara nga ofruesi </w:t>
      </w:r>
      <w:r w:rsidR="00A91044" w:rsidRPr="00051667">
        <w:rPr>
          <w:rFonts w:ascii="Times New Roman" w:hAnsi="Times New Roman" w:cs="Times New Roman"/>
          <w:noProof/>
        </w:rPr>
        <w:t>i</w:t>
      </w:r>
      <w:r w:rsidRPr="00051667">
        <w:rPr>
          <w:rFonts w:ascii="Times New Roman" w:hAnsi="Times New Roman" w:cs="Times New Roman"/>
          <w:noProof/>
        </w:rPr>
        <w:t xml:space="preserv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w:t>
      </w:r>
    </w:p>
    <w:p w14:paraId="0D8DEC4A" w14:textId="77777777" w:rsidR="00FB52CF" w:rsidRDefault="00FB52CF" w:rsidP="00051667">
      <w:pPr>
        <w:spacing w:after="0" w:line="276" w:lineRule="auto"/>
        <w:jc w:val="both"/>
        <w:rPr>
          <w:rFonts w:ascii="Times New Roman" w:hAnsi="Times New Roman" w:cs="Times New Roman"/>
          <w:noProof/>
        </w:rPr>
      </w:pPr>
    </w:p>
    <w:p w14:paraId="395D9D4E" w14:textId="450FE34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76 përcakton detyrimet për operimin e një platforme tregtimi, t</w:t>
      </w:r>
      <w:r w:rsidR="00665016" w:rsidRPr="00051667">
        <w:rPr>
          <w:rFonts w:ascii="Times New Roman" w:hAnsi="Times New Roman" w:cs="Times New Roman"/>
          <w:noProof/>
        </w:rPr>
        <w:t>ë</w:t>
      </w:r>
      <w:r w:rsidRPr="00051667">
        <w:rPr>
          <w:rFonts w:ascii="Times New Roman" w:hAnsi="Times New Roman" w:cs="Times New Roman"/>
          <w:noProof/>
        </w:rPr>
        <w:t xml:space="preserve"> tilla si rregullat p</w:t>
      </w:r>
      <w:r w:rsidR="00665016" w:rsidRPr="00051667">
        <w:rPr>
          <w:rFonts w:ascii="Times New Roman" w:hAnsi="Times New Roman" w:cs="Times New Roman"/>
          <w:noProof/>
        </w:rPr>
        <w:t>ë</w:t>
      </w:r>
      <w:r w:rsidRPr="00051667">
        <w:rPr>
          <w:rFonts w:ascii="Times New Roman" w:hAnsi="Times New Roman" w:cs="Times New Roman"/>
          <w:noProof/>
        </w:rPr>
        <w:t>r pranimi</w:t>
      </w:r>
      <w:r w:rsidR="00A91044" w:rsidRPr="00051667">
        <w:rPr>
          <w:rFonts w:ascii="Times New Roman" w:hAnsi="Times New Roman" w:cs="Times New Roman"/>
          <w:noProof/>
        </w:rPr>
        <w:t>n</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 tregtim, ndalimin e kripto-aseteve me funksione t</w:t>
      </w:r>
      <w:r w:rsidR="00665016" w:rsidRPr="00051667">
        <w:rPr>
          <w:rFonts w:ascii="Times New Roman" w:hAnsi="Times New Roman" w:cs="Times New Roman"/>
          <w:noProof/>
        </w:rPr>
        <w:t>ë</w:t>
      </w:r>
      <w:r w:rsidRPr="00051667">
        <w:rPr>
          <w:rFonts w:ascii="Times New Roman" w:hAnsi="Times New Roman" w:cs="Times New Roman"/>
          <w:noProof/>
        </w:rPr>
        <w:t xml:space="preserve"> anonimizuara, ndalimin e tregtimit p</w:t>
      </w:r>
      <w:r w:rsidR="00665016" w:rsidRPr="00051667">
        <w:rPr>
          <w:rFonts w:ascii="Times New Roman" w:hAnsi="Times New Roman" w:cs="Times New Roman"/>
          <w:noProof/>
        </w:rPr>
        <w:t>ë</w:t>
      </w:r>
      <w:r w:rsidRPr="00051667">
        <w:rPr>
          <w:rFonts w:ascii="Times New Roman" w:hAnsi="Times New Roman" w:cs="Times New Roman"/>
          <w:noProof/>
        </w:rPr>
        <w:t>r llogari t</w:t>
      </w:r>
      <w:r w:rsidR="00665016" w:rsidRPr="00051667">
        <w:rPr>
          <w:rFonts w:ascii="Times New Roman" w:hAnsi="Times New Roman" w:cs="Times New Roman"/>
          <w:noProof/>
        </w:rPr>
        <w:t>ë</w:t>
      </w:r>
      <w:r w:rsidRPr="00051667">
        <w:rPr>
          <w:rFonts w:ascii="Times New Roman" w:hAnsi="Times New Roman" w:cs="Times New Roman"/>
          <w:noProof/>
        </w:rPr>
        <w:t xml:space="preserve"> vet</w:t>
      </w:r>
      <w:r w:rsidR="00665016" w:rsidRPr="00051667">
        <w:rPr>
          <w:rFonts w:ascii="Times New Roman" w:hAnsi="Times New Roman" w:cs="Times New Roman"/>
          <w:noProof/>
        </w:rPr>
        <w:t>ë</w:t>
      </w:r>
      <w:r w:rsidRPr="00051667">
        <w:rPr>
          <w:rFonts w:ascii="Times New Roman" w:hAnsi="Times New Roman" w:cs="Times New Roman"/>
          <w:noProof/>
        </w:rPr>
        <w:t>, rregullat e transparencës para/pas tregtimit, implementimin e sistemeve të qëndrueshme t</w:t>
      </w:r>
      <w:r w:rsidR="00665016" w:rsidRPr="00051667">
        <w:rPr>
          <w:rFonts w:ascii="Times New Roman" w:hAnsi="Times New Roman" w:cs="Times New Roman"/>
          <w:noProof/>
        </w:rPr>
        <w:t>ë</w:t>
      </w:r>
      <w:r w:rsidRPr="00051667">
        <w:rPr>
          <w:rFonts w:ascii="Times New Roman" w:hAnsi="Times New Roman" w:cs="Times New Roman"/>
          <w:noProof/>
        </w:rPr>
        <w:t xml:space="preserve"> siguris</w:t>
      </w:r>
      <w:r w:rsidR="00665016" w:rsidRPr="00051667">
        <w:rPr>
          <w:rFonts w:ascii="Times New Roman" w:hAnsi="Times New Roman" w:cs="Times New Roman"/>
          <w:noProof/>
        </w:rPr>
        <w:t>ë</w:t>
      </w:r>
      <w:r w:rsidRPr="00051667">
        <w:rPr>
          <w:rFonts w:ascii="Times New Roman" w:hAnsi="Times New Roman" w:cs="Times New Roman"/>
          <w:noProof/>
        </w:rPr>
        <w:t>, politikat dhe rregullat n</w:t>
      </w:r>
      <w:r w:rsidR="00665016" w:rsidRPr="00051667">
        <w:rPr>
          <w:rFonts w:ascii="Times New Roman" w:hAnsi="Times New Roman" w:cs="Times New Roman"/>
          <w:noProof/>
        </w:rPr>
        <w:t>ë</w:t>
      </w:r>
      <w:r w:rsidRPr="00051667">
        <w:rPr>
          <w:rFonts w:ascii="Times New Roman" w:hAnsi="Times New Roman" w:cs="Times New Roman"/>
          <w:noProof/>
        </w:rPr>
        <w:t xml:space="preserve"> kuad</w:t>
      </w:r>
      <w:r w:rsidR="00665016" w:rsidRPr="00051667">
        <w:rPr>
          <w:rFonts w:ascii="Times New Roman" w:hAnsi="Times New Roman" w:cs="Times New Roman"/>
          <w:noProof/>
        </w:rPr>
        <w:t>ë</w:t>
      </w:r>
      <w:r w:rsidRPr="00051667">
        <w:rPr>
          <w:rFonts w:ascii="Times New Roman" w:hAnsi="Times New Roman" w:cs="Times New Roman"/>
          <w:noProof/>
        </w:rPr>
        <w:t>r t</w:t>
      </w:r>
      <w:r w:rsidR="00665016" w:rsidRPr="00051667">
        <w:rPr>
          <w:rFonts w:ascii="Times New Roman" w:hAnsi="Times New Roman" w:cs="Times New Roman"/>
          <w:noProof/>
        </w:rPr>
        <w:t>ë</w:t>
      </w:r>
      <w:r w:rsidRPr="00051667">
        <w:rPr>
          <w:rFonts w:ascii="Times New Roman" w:hAnsi="Times New Roman" w:cs="Times New Roman"/>
          <w:noProof/>
        </w:rPr>
        <w:t xml:space="preserve"> parandalimit t</w:t>
      </w:r>
      <w:r w:rsidR="00665016" w:rsidRPr="00051667">
        <w:rPr>
          <w:rFonts w:ascii="Times New Roman" w:hAnsi="Times New Roman" w:cs="Times New Roman"/>
          <w:noProof/>
        </w:rPr>
        <w:t>ë</w:t>
      </w:r>
      <w:r w:rsidRPr="00051667">
        <w:rPr>
          <w:rFonts w:ascii="Times New Roman" w:hAnsi="Times New Roman" w:cs="Times New Roman"/>
          <w:noProof/>
        </w:rPr>
        <w:t xml:space="preserve"> pastrimit t</w:t>
      </w:r>
      <w:r w:rsidR="00665016" w:rsidRPr="00051667">
        <w:rPr>
          <w:rFonts w:ascii="Times New Roman" w:hAnsi="Times New Roman" w:cs="Times New Roman"/>
          <w:noProof/>
        </w:rPr>
        <w:t>ë</w:t>
      </w:r>
      <w:r w:rsidRPr="00051667">
        <w:rPr>
          <w:rFonts w:ascii="Times New Roman" w:hAnsi="Times New Roman" w:cs="Times New Roman"/>
          <w:noProof/>
        </w:rPr>
        <w:t xml:space="preserve"> parave dhe financimit t</w:t>
      </w:r>
      <w:r w:rsidR="00665016" w:rsidRPr="00051667">
        <w:rPr>
          <w:rFonts w:ascii="Times New Roman" w:hAnsi="Times New Roman" w:cs="Times New Roman"/>
          <w:noProof/>
        </w:rPr>
        <w:t>ë</w:t>
      </w:r>
      <w:r w:rsidRPr="00051667">
        <w:rPr>
          <w:rFonts w:ascii="Times New Roman" w:hAnsi="Times New Roman" w:cs="Times New Roman"/>
          <w:noProof/>
        </w:rPr>
        <w:t xml:space="preserve"> terrrozimit dhe detyrimet p</w:t>
      </w:r>
      <w:r w:rsidR="00665016" w:rsidRPr="00051667">
        <w:rPr>
          <w:rFonts w:ascii="Times New Roman" w:hAnsi="Times New Roman" w:cs="Times New Roman"/>
          <w:noProof/>
        </w:rPr>
        <w:t>ë</w:t>
      </w:r>
      <w:r w:rsidRPr="00051667">
        <w:rPr>
          <w:rFonts w:ascii="Times New Roman" w:hAnsi="Times New Roman" w:cs="Times New Roman"/>
          <w:noProof/>
        </w:rPr>
        <w:t>r raportim ndaj AMF.</w:t>
      </w:r>
    </w:p>
    <w:p w14:paraId="7A28EBCE" w14:textId="77777777" w:rsidR="00FB52CF" w:rsidRDefault="00FB52CF" w:rsidP="00051667">
      <w:pPr>
        <w:spacing w:after="0" w:line="276" w:lineRule="auto"/>
        <w:jc w:val="both"/>
        <w:rPr>
          <w:rFonts w:ascii="Times New Roman" w:hAnsi="Times New Roman" w:cs="Times New Roman"/>
          <w:noProof/>
        </w:rPr>
      </w:pPr>
    </w:p>
    <w:p w14:paraId="57688A69" w14:textId="18AE84C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77 përcakton rregullat për këmbimin e kripto-aseteve kundrejt fondeve ose kripto-aseteve të tjera, duke kërkuar hartimin dhe implementimin e politikave tregtare jo-diskriminuese, metodologjive të p</w:t>
      </w:r>
      <w:r w:rsidR="00665016" w:rsidRPr="00051667">
        <w:rPr>
          <w:rFonts w:ascii="Times New Roman" w:hAnsi="Times New Roman" w:cs="Times New Roman"/>
          <w:noProof/>
        </w:rPr>
        <w:t>ë</w:t>
      </w:r>
      <w:r w:rsidRPr="00051667">
        <w:rPr>
          <w:rFonts w:ascii="Times New Roman" w:hAnsi="Times New Roman" w:cs="Times New Roman"/>
          <w:noProof/>
        </w:rPr>
        <w:t>rcaktimit t</w:t>
      </w:r>
      <w:r w:rsidR="00665016" w:rsidRPr="00051667">
        <w:rPr>
          <w:rFonts w:ascii="Times New Roman" w:hAnsi="Times New Roman" w:cs="Times New Roman"/>
          <w:noProof/>
        </w:rPr>
        <w:t>ë</w:t>
      </w:r>
      <w:r w:rsidRPr="00051667">
        <w:rPr>
          <w:rFonts w:ascii="Times New Roman" w:hAnsi="Times New Roman" w:cs="Times New Roman"/>
          <w:noProof/>
        </w:rPr>
        <w:t xml:space="preserve"> çmimit, ekzekutim sipas çmimit t</w:t>
      </w:r>
      <w:r w:rsidR="00665016" w:rsidRPr="00051667">
        <w:rPr>
          <w:rFonts w:ascii="Times New Roman" w:hAnsi="Times New Roman" w:cs="Times New Roman"/>
          <w:noProof/>
        </w:rPr>
        <w:t>ë</w:t>
      </w:r>
      <w:r w:rsidRPr="00051667">
        <w:rPr>
          <w:rFonts w:ascii="Times New Roman" w:hAnsi="Times New Roman" w:cs="Times New Roman"/>
          <w:noProof/>
        </w:rPr>
        <w:t xml:space="preserve"> publikuar etj.</w:t>
      </w:r>
    </w:p>
    <w:p w14:paraId="731F2723" w14:textId="77777777" w:rsidR="00FB52CF" w:rsidRDefault="00FB52CF" w:rsidP="00051667">
      <w:pPr>
        <w:spacing w:after="0" w:line="276" w:lineRule="auto"/>
        <w:jc w:val="both"/>
        <w:rPr>
          <w:rFonts w:ascii="Times New Roman" w:hAnsi="Times New Roman" w:cs="Times New Roman"/>
          <w:noProof/>
        </w:rPr>
      </w:pPr>
    </w:p>
    <w:p w14:paraId="6092BD27" w14:textId="0EEB476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78 përcakton detyrimet për ekzekutimin e urdhrave në interesin më të mirë të klientit t</w:t>
      </w:r>
      <w:r w:rsidR="00665016" w:rsidRPr="00051667">
        <w:rPr>
          <w:rFonts w:ascii="Times New Roman" w:hAnsi="Times New Roman" w:cs="Times New Roman"/>
          <w:noProof/>
        </w:rPr>
        <w:t>ë</w:t>
      </w:r>
      <w:r w:rsidRPr="00051667">
        <w:rPr>
          <w:rFonts w:ascii="Times New Roman" w:hAnsi="Times New Roman" w:cs="Times New Roman"/>
          <w:noProof/>
        </w:rPr>
        <w:t xml:space="preserve"> cilat p</w:t>
      </w:r>
      <w:r w:rsidR="00665016" w:rsidRPr="00051667">
        <w:rPr>
          <w:rFonts w:ascii="Times New Roman" w:hAnsi="Times New Roman" w:cs="Times New Roman"/>
          <w:noProof/>
        </w:rPr>
        <w:t>ë</w:t>
      </w:r>
      <w:r w:rsidRPr="00051667">
        <w:rPr>
          <w:rFonts w:ascii="Times New Roman" w:hAnsi="Times New Roman" w:cs="Times New Roman"/>
          <w:noProof/>
        </w:rPr>
        <w:t>rfshijn</w:t>
      </w:r>
      <w:r w:rsidR="00665016" w:rsidRPr="00051667">
        <w:rPr>
          <w:rFonts w:ascii="Times New Roman" w:hAnsi="Times New Roman" w:cs="Times New Roman"/>
          <w:noProof/>
        </w:rPr>
        <w:t>ë</w:t>
      </w:r>
      <w:r w:rsidRPr="00051667">
        <w:rPr>
          <w:rFonts w:ascii="Times New Roman" w:hAnsi="Times New Roman" w:cs="Times New Roman"/>
          <w:noProof/>
        </w:rPr>
        <w:t xml:space="preserve"> politika t</w:t>
      </w:r>
      <w:r w:rsidR="00665016" w:rsidRPr="00051667">
        <w:rPr>
          <w:rFonts w:ascii="Times New Roman" w:hAnsi="Times New Roman" w:cs="Times New Roman"/>
          <w:noProof/>
        </w:rPr>
        <w:t>ë</w:t>
      </w:r>
      <w:r w:rsidRPr="00051667">
        <w:rPr>
          <w:rFonts w:ascii="Times New Roman" w:hAnsi="Times New Roman" w:cs="Times New Roman"/>
          <w:noProof/>
        </w:rPr>
        <w:t xml:space="preserve"> ekzekutimit t</w:t>
      </w:r>
      <w:r w:rsidR="00665016" w:rsidRPr="00051667">
        <w:rPr>
          <w:rFonts w:ascii="Times New Roman" w:hAnsi="Times New Roman" w:cs="Times New Roman"/>
          <w:noProof/>
        </w:rPr>
        <w:t>ë</w:t>
      </w:r>
      <w:r w:rsidRPr="00051667">
        <w:rPr>
          <w:rFonts w:ascii="Times New Roman" w:hAnsi="Times New Roman" w:cs="Times New Roman"/>
          <w:noProof/>
        </w:rPr>
        <w:t xml:space="preserve"> urdhrave,  informimin dhe marrjen e pëlqimit paraprak, monitorimin n</w:t>
      </w:r>
      <w:r w:rsidR="00665016" w:rsidRPr="00051667">
        <w:rPr>
          <w:rFonts w:ascii="Times New Roman" w:hAnsi="Times New Roman" w:cs="Times New Roman"/>
          <w:noProof/>
        </w:rPr>
        <w:t>ë</w:t>
      </w:r>
      <w:r w:rsidRPr="00051667">
        <w:rPr>
          <w:rFonts w:ascii="Times New Roman" w:hAnsi="Times New Roman" w:cs="Times New Roman"/>
          <w:noProof/>
        </w:rPr>
        <w:t xml:space="preserve"> vazhdim</w:t>
      </w:r>
      <w:r w:rsidR="00665016" w:rsidRPr="00051667">
        <w:rPr>
          <w:rFonts w:ascii="Times New Roman" w:hAnsi="Times New Roman" w:cs="Times New Roman"/>
          <w:noProof/>
        </w:rPr>
        <w:t>ë</w:t>
      </w:r>
      <w:r w:rsidRPr="00051667">
        <w:rPr>
          <w:rFonts w:ascii="Times New Roman" w:hAnsi="Times New Roman" w:cs="Times New Roman"/>
          <w:noProof/>
        </w:rPr>
        <w:t>si etj.</w:t>
      </w:r>
    </w:p>
    <w:p w14:paraId="1FBE6B4B" w14:textId="77777777" w:rsidR="00FB52CF" w:rsidRDefault="00FB52CF" w:rsidP="00051667">
      <w:pPr>
        <w:spacing w:after="0" w:line="276" w:lineRule="auto"/>
        <w:jc w:val="both"/>
        <w:rPr>
          <w:rFonts w:ascii="Times New Roman" w:hAnsi="Times New Roman" w:cs="Times New Roman"/>
          <w:noProof/>
        </w:rPr>
      </w:pPr>
    </w:p>
    <w:p w14:paraId="786F674B" w14:textId="0D2D591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79 përcakton kërkesat për hedhjen në treg të kripto-aseteve, përfshirë informacionin paraprak ndaj ofertuesit, dh</w:t>
      </w:r>
      <w:r w:rsidR="00665016" w:rsidRPr="00051667">
        <w:rPr>
          <w:rFonts w:ascii="Times New Roman" w:hAnsi="Times New Roman" w:cs="Times New Roman"/>
          <w:noProof/>
        </w:rPr>
        <w:t>ë</w:t>
      </w:r>
      <w:r w:rsidRPr="00051667">
        <w:rPr>
          <w:rFonts w:ascii="Times New Roman" w:hAnsi="Times New Roman" w:cs="Times New Roman"/>
          <w:noProof/>
        </w:rPr>
        <w:t>nien pëlqimin nga ana e emetuesit dhe procedura specifike për menaxhimin e konflikteve të interesit.</w:t>
      </w:r>
    </w:p>
    <w:p w14:paraId="59FB3B59" w14:textId="77777777" w:rsidR="00FB52CF" w:rsidRDefault="00FB52CF" w:rsidP="00051667">
      <w:pPr>
        <w:spacing w:after="0" w:line="276" w:lineRule="auto"/>
        <w:jc w:val="both"/>
        <w:rPr>
          <w:rFonts w:ascii="Times New Roman" w:hAnsi="Times New Roman" w:cs="Times New Roman"/>
          <w:noProof/>
        </w:rPr>
      </w:pPr>
    </w:p>
    <w:p w14:paraId="64DA9830" w14:textId="6726E3B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lastRenderedPageBreak/>
        <w:t>Neni 80 përcakton rregullat për marrjen dhe transmetimin e urdhrave, me detyrimin për transmetim të menjëhershëm dhe t</w:t>
      </w:r>
      <w:r w:rsidR="00665016" w:rsidRPr="00051667">
        <w:rPr>
          <w:rFonts w:ascii="Times New Roman" w:hAnsi="Times New Roman" w:cs="Times New Roman"/>
          <w:noProof/>
        </w:rPr>
        <w:t>ë</w:t>
      </w:r>
      <w:r w:rsidRPr="00051667">
        <w:rPr>
          <w:rFonts w:ascii="Times New Roman" w:hAnsi="Times New Roman" w:cs="Times New Roman"/>
          <w:noProof/>
        </w:rPr>
        <w:t xml:space="preserve"> saktë, ndalimin e marrjes s</w:t>
      </w:r>
      <w:r w:rsidR="00665016" w:rsidRPr="00051667">
        <w:rPr>
          <w:rFonts w:ascii="Times New Roman" w:hAnsi="Times New Roman" w:cs="Times New Roman"/>
          <w:noProof/>
        </w:rPr>
        <w:t>ë</w:t>
      </w:r>
      <w:r w:rsidRPr="00051667">
        <w:rPr>
          <w:rFonts w:ascii="Times New Roman" w:hAnsi="Times New Roman" w:cs="Times New Roman"/>
          <w:noProof/>
        </w:rPr>
        <w:t xml:space="preserve"> stimujve financiar</w:t>
      </w:r>
      <w:r w:rsidR="0090713E" w:rsidRPr="00051667">
        <w:rPr>
          <w:rFonts w:ascii="Times New Roman" w:hAnsi="Times New Roman" w:cs="Times New Roman"/>
          <w:noProof/>
        </w:rPr>
        <w:t>ë</w:t>
      </w:r>
      <w:r w:rsidRPr="00051667">
        <w:rPr>
          <w:rFonts w:ascii="Times New Roman" w:hAnsi="Times New Roman" w:cs="Times New Roman"/>
          <w:noProof/>
        </w:rPr>
        <w:t xml:space="preserve"> për orientimin e urdhrave drejt platformave t</w:t>
      </w:r>
      <w:r w:rsidR="00665016" w:rsidRPr="00051667">
        <w:rPr>
          <w:rFonts w:ascii="Times New Roman" w:hAnsi="Times New Roman" w:cs="Times New Roman"/>
          <w:noProof/>
        </w:rPr>
        <w:t>ë</w:t>
      </w:r>
      <w:r w:rsidRPr="00051667">
        <w:rPr>
          <w:rFonts w:ascii="Times New Roman" w:hAnsi="Times New Roman" w:cs="Times New Roman"/>
          <w:noProof/>
        </w:rPr>
        <w:t xml:space="preserve"> caktuara dhe mbrojtje ndaj keqpërdorimit të informacionit.</w:t>
      </w:r>
    </w:p>
    <w:p w14:paraId="083BE773" w14:textId="77777777" w:rsidR="00FB52CF" w:rsidRDefault="00FB52CF" w:rsidP="00051667">
      <w:pPr>
        <w:spacing w:after="0" w:line="276" w:lineRule="auto"/>
        <w:jc w:val="both"/>
        <w:rPr>
          <w:rFonts w:ascii="Times New Roman" w:hAnsi="Times New Roman" w:cs="Times New Roman"/>
          <w:noProof/>
        </w:rPr>
      </w:pPr>
    </w:p>
    <w:p w14:paraId="310D51AA" w14:textId="09F7F342"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81 përcakton kërkesat për këshillimin dhe administrimin e portofolit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t</w:t>
      </w:r>
      <w:r w:rsidR="00665016" w:rsidRPr="00051667">
        <w:rPr>
          <w:rFonts w:ascii="Times New Roman" w:hAnsi="Times New Roman" w:cs="Times New Roman"/>
          <w:noProof/>
        </w:rPr>
        <w:t>ë</w:t>
      </w:r>
      <w:r w:rsidRPr="00051667">
        <w:rPr>
          <w:rFonts w:ascii="Times New Roman" w:hAnsi="Times New Roman" w:cs="Times New Roman"/>
          <w:noProof/>
        </w:rPr>
        <w:t xml:space="preserve"> cilat p</w:t>
      </w:r>
      <w:r w:rsidR="00665016" w:rsidRPr="00051667">
        <w:rPr>
          <w:rFonts w:ascii="Times New Roman" w:hAnsi="Times New Roman" w:cs="Times New Roman"/>
          <w:noProof/>
        </w:rPr>
        <w:t>ë</w:t>
      </w:r>
      <w:r w:rsidRPr="00051667">
        <w:rPr>
          <w:rFonts w:ascii="Times New Roman" w:hAnsi="Times New Roman" w:cs="Times New Roman"/>
          <w:noProof/>
        </w:rPr>
        <w:t>rfshijn</w:t>
      </w:r>
      <w:r w:rsidR="00665016" w:rsidRPr="00051667">
        <w:rPr>
          <w:rFonts w:ascii="Times New Roman" w:hAnsi="Times New Roman" w:cs="Times New Roman"/>
          <w:noProof/>
        </w:rPr>
        <w:t>ë</w:t>
      </w:r>
      <w:r w:rsidRPr="00051667">
        <w:rPr>
          <w:rFonts w:ascii="Times New Roman" w:hAnsi="Times New Roman" w:cs="Times New Roman"/>
          <w:noProof/>
        </w:rPr>
        <w:t xml:space="preserve">  testin e përshtatshmërisë s</w:t>
      </w:r>
      <w:r w:rsidR="00665016" w:rsidRPr="00051667">
        <w:rPr>
          <w:rFonts w:ascii="Times New Roman" w:hAnsi="Times New Roman" w:cs="Times New Roman"/>
          <w:noProof/>
        </w:rPr>
        <w:t>ë</w:t>
      </w:r>
      <w:r w:rsidRPr="00051667">
        <w:rPr>
          <w:rFonts w:ascii="Times New Roman" w:hAnsi="Times New Roman" w:cs="Times New Roman"/>
          <w:noProof/>
        </w:rPr>
        <w:t xml:space="preserve"> klient</w:t>
      </w:r>
      <w:r w:rsidR="00665016" w:rsidRPr="00051667">
        <w:rPr>
          <w:rFonts w:ascii="Times New Roman" w:hAnsi="Times New Roman" w:cs="Times New Roman"/>
          <w:noProof/>
        </w:rPr>
        <w:t>ë</w:t>
      </w:r>
      <w:r w:rsidRPr="00051667">
        <w:rPr>
          <w:rFonts w:ascii="Times New Roman" w:hAnsi="Times New Roman" w:cs="Times New Roman"/>
          <w:noProof/>
        </w:rPr>
        <w:t>ve, transparencën mbi pavarësinë e analizës, ndalimin e marrjes s</w:t>
      </w:r>
      <w:r w:rsidR="00665016" w:rsidRPr="00051667">
        <w:rPr>
          <w:rFonts w:ascii="Times New Roman" w:hAnsi="Times New Roman" w:cs="Times New Roman"/>
          <w:noProof/>
        </w:rPr>
        <w:t>ë</w:t>
      </w:r>
      <w:r w:rsidRPr="00051667">
        <w:rPr>
          <w:rFonts w:ascii="Times New Roman" w:hAnsi="Times New Roman" w:cs="Times New Roman"/>
          <w:noProof/>
        </w:rPr>
        <w:t xml:space="preserve">  stimujve financiar</w:t>
      </w:r>
      <w:r w:rsidR="00665016" w:rsidRPr="00051667">
        <w:rPr>
          <w:rFonts w:ascii="Times New Roman" w:hAnsi="Times New Roman" w:cs="Times New Roman"/>
          <w:noProof/>
        </w:rPr>
        <w:t>ë</w:t>
      </w:r>
      <w:r w:rsidRPr="00051667">
        <w:rPr>
          <w:rFonts w:ascii="Times New Roman" w:hAnsi="Times New Roman" w:cs="Times New Roman"/>
          <w:noProof/>
        </w:rPr>
        <w:t xml:space="preserve"> (ose kushtet kur lejohen), paralajmërimet e rrezikut, raportin e përshtatshmërisë dhe raportimet periodike.</w:t>
      </w:r>
    </w:p>
    <w:p w14:paraId="7E4A7859" w14:textId="77777777" w:rsidR="00FB52CF" w:rsidRDefault="00FB52CF" w:rsidP="00051667">
      <w:pPr>
        <w:spacing w:after="0" w:line="276" w:lineRule="auto"/>
        <w:jc w:val="both"/>
        <w:rPr>
          <w:rFonts w:ascii="Times New Roman" w:hAnsi="Times New Roman" w:cs="Times New Roman"/>
          <w:noProof/>
        </w:rPr>
      </w:pPr>
    </w:p>
    <w:p w14:paraId="6702B3A2" w14:textId="1620AAF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82 përcakton detyrimet për shërbimet e transfertave të kripto-aseteve dhe p</w:t>
      </w:r>
      <w:r w:rsidR="00665016" w:rsidRPr="00051667">
        <w:rPr>
          <w:rFonts w:ascii="Times New Roman" w:hAnsi="Times New Roman" w:cs="Times New Roman"/>
          <w:noProof/>
        </w:rPr>
        <w:t>ë</w:t>
      </w:r>
      <w:r w:rsidRPr="00051667">
        <w:rPr>
          <w:rFonts w:ascii="Times New Roman" w:hAnsi="Times New Roman" w:cs="Times New Roman"/>
          <w:noProof/>
        </w:rPr>
        <w:t>rmbajtjen e marr</w:t>
      </w:r>
      <w:r w:rsidR="00665016" w:rsidRPr="00051667">
        <w:rPr>
          <w:rFonts w:ascii="Times New Roman" w:hAnsi="Times New Roman" w:cs="Times New Roman"/>
          <w:noProof/>
        </w:rPr>
        <w:t>ë</w:t>
      </w:r>
      <w:r w:rsidRPr="00051667">
        <w:rPr>
          <w:rFonts w:ascii="Times New Roman" w:hAnsi="Times New Roman" w:cs="Times New Roman"/>
          <w:noProof/>
        </w:rPr>
        <w:t>veshjes s</w:t>
      </w:r>
      <w:r w:rsidR="00665016" w:rsidRPr="00051667">
        <w:rPr>
          <w:rFonts w:ascii="Times New Roman" w:hAnsi="Times New Roman" w:cs="Times New Roman"/>
          <w:noProof/>
        </w:rPr>
        <w:t>ë</w:t>
      </w:r>
      <w:r w:rsidRPr="00051667">
        <w:rPr>
          <w:rFonts w:ascii="Times New Roman" w:hAnsi="Times New Roman" w:cs="Times New Roman"/>
          <w:noProof/>
        </w:rPr>
        <w:t xml:space="preserve"> tyre me klient</w:t>
      </w:r>
      <w:r w:rsidR="00665016" w:rsidRPr="00051667">
        <w:rPr>
          <w:rFonts w:ascii="Times New Roman" w:hAnsi="Times New Roman" w:cs="Times New Roman"/>
          <w:noProof/>
        </w:rPr>
        <w:t>ë</w:t>
      </w:r>
      <w:r w:rsidRPr="00051667">
        <w:rPr>
          <w:rFonts w:ascii="Times New Roman" w:hAnsi="Times New Roman" w:cs="Times New Roman"/>
          <w:noProof/>
        </w:rPr>
        <w:t>t, t</w:t>
      </w:r>
      <w:r w:rsidR="00665016" w:rsidRPr="00051667">
        <w:rPr>
          <w:rFonts w:ascii="Times New Roman" w:hAnsi="Times New Roman" w:cs="Times New Roman"/>
          <w:noProof/>
        </w:rPr>
        <w:t>ë</w:t>
      </w:r>
      <w:r w:rsidRPr="00051667">
        <w:rPr>
          <w:rFonts w:ascii="Times New Roman" w:hAnsi="Times New Roman" w:cs="Times New Roman"/>
          <w:noProof/>
        </w:rPr>
        <w:t xml:space="preserve"> cilat duhet t</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rfshijn</w:t>
      </w:r>
      <w:r w:rsidR="00665016" w:rsidRPr="00051667">
        <w:rPr>
          <w:rFonts w:ascii="Times New Roman" w:hAnsi="Times New Roman" w:cs="Times New Roman"/>
          <w:noProof/>
        </w:rPr>
        <w:t>ë</w:t>
      </w:r>
      <w:r w:rsidRPr="00051667">
        <w:rPr>
          <w:rFonts w:ascii="Times New Roman" w:hAnsi="Times New Roman" w:cs="Times New Roman"/>
          <w:noProof/>
        </w:rPr>
        <w:t xml:space="preserve"> procedurat e ndjekura p</w:t>
      </w:r>
      <w:r w:rsidR="00665016" w:rsidRPr="00051667">
        <w:rPr>
          <w:rFonts w:ascii="Times New Roman" w:hAnsi="Times New Roman" w:cs="Times New Roman"/>
          <w:noProof/>
        </w:rPr>
        <w:t>ë</w:t>
      </w:r>
      <w:r w:rsidRPr="00051667">
        <w:rPr>
          <w:rFonts w:ascii="Times New Roman" w:hAnsi="Times New Roman" w:cs="Times New Roman"/>
          <w:noProof/>
        </w:rPr>
        <w:t>r sh</w:t>
      </w:r>
      <w:r w:rsidR="00665016" w:rsidRPr="00051667">
        <w:rPr>
          <w:rFonts w:ascii="Times New Roman" w:hAnsi="Times New Roman" w:cs="Times New Roman"/>
          <w:noProof/>
        </w:rPr>
        <w:t>ë</w:t>
      </w:r>
      <w:r w:rsidRPr="00051667">
        <w:rPr>
          <w:rFonts w:ascii="Times New Roman" w:hAnsi="Times New Roman" w:cs="Times New Roman"/>
          <w:noProof/>
        </w:rPr>
        <w:t>rbimin e transfert</w:t>
      </w:r>
      <w:r w:rsidR="00665016" w:rsidRPr="00051667">
        <w:rPr>
          <w:rFonts w:ascii="Times New Roman" w:hAnsi="Times New Roman" w:cs="Times New Roman"/>
          <w:noProof/>
        </w:rPr>
        <w:t>ë</w:t>
      </w:r>
      <w:r w:rsidRPr="00051667">
        <w:rPr>
          <w:rFonts w:ascii="Times New Roman" w:hAnsi="Times New Roman" w:cs="Times New Roman"/>
          <w:noProof/>
        </w:rPr>
        <w:t>s, politikat dhe sistemet e sigurs</w:t>
      </w:r>
      <w:r w:rsidR="00665016" w:rsidRPr="00051667">
        <w:rPr>
          <w:rFonts w:ascii="Times New Roman" w:hAnsi="Times New Roman" w:cs="Times New Roman"/>
          <w:noProof/>
        </w:rPr>
        <w:t>ë</w:t>
      </w:r>
      <w:r w:rsidRPr="00051667">
        <w:rPr>
          <w:rFonts w:ascii="Times New Roman" w:hAnsi="Times New Roman" w:cs="Times New Roman"/>
          <w:noProof/>
        </w:rPr>
        <w:t xml:space="preserve"> s</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 xml:space="preserve">rdorura, tarifat e zbatueshme etj. </w:t>
      </w:r>
    </w:p>
    <w:p w14:paraId="6D9F7CD4" w14:textId="77777777" w:rsidR="00FB52CF" w:rsidRDefault="00FB52CF" w:rsidP="00051667">
      <w:pPr>
        <w:spacing w:after="0" w:line="276" w:lineRule="auto"/>
        <w:jc w:val="both"/>
        <w:rPr>
          <w:rFonts w:ascii="Times New Roman" w:hAnsi="Times New Roman" w:cs="Times New Roman"/>
          <w:noProof/>
        </w:rPr>
      </w:pPr>
    </w:p>
    <w:p w14:paraId="6DB235A0" w14:textId="7D2ACA4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83 përcakton procedurën e njoftimit dhe vlerësimit nga AMF të blerjeve të propozuara të pjesëmarrjes influencuese në CASP (pragje 10/20/30/50%), afatet, pezullimin për informacion shtesë dhe miratimin në heshtje.</w:t>
      </w:r>
    </w:p>
    <w:p w14:paraId="739D6BA0" w14:textId="77777777" w:rsidR="00FB52CF" w:rsidRDefault="00FB52CF" w:rsidP="00051667">
      <w:pPr>
        <w:spacing w:after="0" w:line="276" w:lineRule="auto"/>
        <w:jc w:val="both"/>
        <w:rPr>
          <w:rFonts w:ascii="Times New Roman" w:hAnsi="Times New Roman" w:cs="Times New Roman"/>
          <w:noProof/>
        </w:rPr>
      </w:pPr>
    </w:p>
    <w:p w14:paraId="68C02AEA" w14:textId="1A84CC4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84 përcakton kriteret e vlerësimit të AMF për blerësin e propozuar dhe qëndrueshmërinë e transaksionit (reputacioni, aftësitë drejtuese, qëndrueshmëria financiare, përputhshmëria, rreziqet AML/CFT) dhe mundësinë e kundërshtimit kur ka dyshime të arsyeshme ose informacion të paplotë.</w:t>
      </w:r>
    </w:p>
    <w:p w14:paraId="43FACE34" w14:textId="77777777" w:rsidR="00FB52CF" w:rsidRDefault="00FB52CF" w:rsidP="00051667">
      <w:pPr>
        <w:spacing w:after="0" w:line="276" w:lineRule="auto"/>
        <w:jc w:val="both"/>
        <w:rPr>
          <w:rFonts w:ascii="Times New Roman" w:hAnsi="Times New Roman" w:cs="Times New Roman"/>
          <w:noProof/>
        </w:rPr>
      </w:pPr>
    </w:p>
    <w:p w14:paraId="2F3B5383" w14:textId="7936BCE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85 përcakton identifikimin e ofruesve t</w:t>
      </w:r>
      <w:r w:rsidR="00665016" w:rsidRPr="00051667">
        <w:rPr>
          <w:rFonts w:ascii="Times New Roman" w:hAnsi="Times New Roman" w:cs="Times New Roman"/>
          <w:noProof/>
        </w:rPr>
        <w:t>ë</w:t>
      </w:r>
      <w:r w:rsidRPr="00051667">
        <w:rPr>
          <w:rFonts w:ascii="Times New Roman" w:hAnsi="Times New Roman" w:cs="Times New Roman"/>
          <w:noProof/>
        </w:rPr>
        <w:t xml:space="preserve"> sh</w:t>
      </w:r>
      <w:r w:rsidR="00665016" w:rsidRPr="00051667">
        <w:rPr>
          <w:rFonts w:ascii="Times New Roman" w:hAnsi="Times New Roman" w:cs="Times New Roman"/>
          <w:noProof/>
        </w:rPr>
        <w:t>ë</w:t>
      </w:r>
      <w:r w:rsidRPr="00051667">
        <w:rPr>
          <w:rFonts w:ascii="Times New Roman" w:hAnsi="Times New Roman" w:cs="Times New Roman"/>
          <w:noProof/>
        </w:rPr>
        <w:t>rbimeve t</w:t>
      </w:r>
      <w:r w:rsidR="00665016" w:rsidRPr="00051667">
        <w:rPr>
          <w:rFonts w:ascii="Times New Roman" w:hAnsi="Times New Roman" w:cs="Times New Roman"/>
          <w:noProof/>
        </w:rPr>
        <w:t>ë</w:t>
      </w:r>
      <w:r w:rsidRPr="00051667">
        <w:rPr>
          <w:rFonts w:ascii="Times New Roman" w:hAnsi="Times New Roman" w:cs="Times New Roman"/>
          <w:noProof/>
        </w:rPr>
        <w:t xml:space="preserve"> kripto-aseteve “me rëndësi të lart</w:t>
      </w:r>
      <w:r w:rsidR="00665016" w:rsidRPr="00051667">
        <w:rPr>
          <w:rFonts w:ascii="Times New Roman" w:hAnsi="Times New Roman" w:cs="Times New Roman"/>
          <w:noProof/>
        </w:rPr>
        <w:t>ë</w:t>
      </w:r>
      <w:r w:rsidRPr="00051667">
        <w:rPr>
          <w:rFonts w:ascii="Times New Roman" w:hAnsi="Times New Roman" w:cs="Times New Roman"/>
          <w:noProof/>
        </w:rPr>
        <w:t>” (≥15 milionë përdorues aktivë mesatarë/vit), detyrimin e njoftimit te AMF dhe, kur zbatohet, komunikimin/raportimin periodik me ESMA.</w:t>
      </w:r>
    </w:p>
    <w:p w14:paraId="3C4D3D43" w14:textId="77777777" w:rsidR="00FB52CF" w:rsidRDefault="00FB52CF" w:rsidP="00051667">
      <w:pPr>
        <w:spacing w:after="0" w:line="276" w:lineRule="auto"/>
        <w:jc w:val="both"/>
        <w:rPr>
          <w:rFonts w:ascii="Times New Roman" w:hAnsi="Times New Roman" w:cs="Times New Roman"/>
          <w:noProof/>
        </w:rPr>
      </w:pPr>
    </w:p>
    <w:p w14:paraId="11FF8FC6" w14:textId="07C56F5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86 përcakton fushën e zbatimit të rregullave të abuzimit në treg për kripto-asetet e pranuara ose të kërkuara për pranim në tregtim, duke i shtrirë ato te çdo transaksion/urdhër/sjellje brenda Shqipërisë, në platformë ose jashtë saj.</w:t>
      </w:r>
    </w:p>
    <w:p w14:paraId="3BBC1A6F" w14:textId="77777777" w:rsidR="00FB52CF" w:rsidRDefault="00FB52CF" w:rsidP="00051667">
      <w:pPr>
        <w:spacing w:after="0" w:line="276" w:lineRule="auto"/>
        <w:jc w:val="both"/>
        <w:rPr>
          <w:rFonts w:ascii="Times New Roman" w:hAnsi="Times New Roman" w:cs="Times New Roman"/>
          <w:noProof/>
        </w:rPr>
      </w:pPr>
    </w:p>
    <w:p w14:paraId="143B67D7" w14:textId="7A34195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87 përkufizon “informacionin e brendshëm” si informacion të saktë, jo-publik, me ndikim material në çmim (përfshirë urdhrat në pritje), duke sqaruar testin e “investitorit të arsyeshëm”, hapat ndërmjetës dhe kriterin e saktësisë.</w:t>
      </w:r>
    </w:p>
    <w:p w14:paraId="7EB22E58" w14:textId="77777777" w:rsidR="00FB52CF" w:rsidRDefault="00FB52CF" w:rsidP="00051667">
      <w:pPr>
        <w:spacing w:after="0" w:line="276" w:lineRule="auto"/>
        <w:jc w:val="both"/>
        <w:rPr>
          <w:rFonts w:ascii="Times New Roman" w:hAnsi="Times New Roman" w:cs="Times New Roman"/>
          <w:noProof/>
        </w:rPr>
      </w:pPr>
    </w:p>
    <w:p w14:paraId="460B4C77" w14:textId="3A4EDE4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88 detyron emetuesit/ofertuesit/kërkuesit e pranimit të publikojnë pa vonesë informacionin e brendshëm, lejon vonesë vetëm kur plotësohen kushtet (interes legjitim, mos-keqorientim, konfidencialitet) dhe kërkon njoftim të AMF-së dhe publikimin në faqe zyrtare.</w:t>
      </w:r>
    </w:p>
    <w:p w14:paraId="2D344783" w14:textId="77777777" w:rsidR="00FB52CF" w:rsidRDefault="00FB52CF" w:rsidP="00051667">
      <w:pPr>
        <w:spacing w:after="0" w:line="276" w:lineRule="auto"/>
        <w:jc w:val="both"/>
        <w:rPr>
          <w:rFonts w:ascii="Times New Roman" w:hAnsi="Times New Roman" w:cs="Times New Roman"/>
          <w:noProof/>
        </w:rPr>
      </w:pPr>
    </w:p>
    <w:p w14:paraId="3A815543" w14:textId="14A8DD0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89 ndalon tregtimin me informacion të brendshëm e zgjeron k</w:t>
      </w:r>
      <w:r w:rsidR="00665016" w:rsidRPr="00051667">
        <w:rPr>
          <w:rFonts w:ascii="Times New Roman" w:hAnsi="Times New Roman" w:cs="Times New Roman"/>
          <w:noProof/>
        </w:rPr>
        <w:t>ë</w:t>
      </w:r>
      <w:r w:rsidRPr="00051667">
        <w:rPr>
          <w:rFonts w:ascii="Times New Roman" w:hAnsi="Times New Roman" w:cs="Times New Roman"/>
          <w:noProof/>
        </w:rPr>
        <w:t>t</w:t>
      </w:r>
      <w:r w:rsidR="00665016" w:rsidRPr="00051667">
        <w:rPr>
          <w:rFonts w:ascii="Times New Roman" w:hAnsi="Times New Roman" w:cs="Times New Roman"/>
          <w:noProof/>
        </w:rPr>
        <w:t>ë</w:t>
      </w:r>
      <w:r w:rsidRPr="00051667">
        <w:rPr>
          <w:rFonts w:ascii="Times New Roman" w:hAnsi="Times New Roman" w:cs="Times New Roman"/>
          <w:noProof/>
        </w:rPr>
        <w:t xml:space="preserve"> detyrim tek çdo person me qasje për shkak t</w:t>
      </w:r>
      <w:r w:rsidR="00665016" w:rsidRPr="00051667">
        <w:rPr>
          <w:rFonts w:ascii="Times New Roman" w:hAnsi="Times New Roman" w:cs="Times New Roman"/>
          <w:noProof/>
        </w:rPr>
        <w:t>ë</w:t>
      </w:r>
      <w:r w:rsidRPr="00051667">
        <w:rPr>
          <w:rFonts w:ascii="Times New Roman" w:hAnsi="Times New Roman" w:cs="Times New Roman"/>
          <w:noProof/>
        </w:rPr>
        <w:t xml:space="preserve"> rolit apo rrethanave si dhe e bën të zbatueshëm edhe për vendimmarrësit e personave juridikë.</w:t>
      </w:r>
    </w:p>
    <w:p w14:paraId="53784B9D" w14:textId="77777777" w:rsidR="00FB52CF" w:rsidRDefault="00FB52CF" w:rsidP="00051667">
      <w:pPr>
        <w:spacing w:after="0" w:line="276" w:lineRule="auto"/>
        <w:jc w:val="both"/>
        <w:rPr>
          <w:rFonts w:ascii="Times New Roman" w:hAnsi="Times New Roman" w:cs="Times New Roman"/>
          <w:noProof/>
        </w:rPr>
      </w:pPr>
    </w:p>
    <w:p w14:paraId="0EB0B1A0" w14:textId="49A82AA1"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90 ndalon zbulimin e paligjshëm të informacionit të brendshëm, përfshirë përhapjen e mëtejshme të rekomandimeve të bazuara në të.</w:t>
      </w:r>
    </w:p>
    <w:p w14:paraId="2A8E5086" w14:textId="77777777" w:rsidR="00FB52CF" w:rsidRDefault="00FB52CF" w:rsidP="00051667">
      <w:pPr>
        <w:spacing w:after="0" w:line="276" w:lineRule="auto"/>
        <w:jc w:val="both"/>
        <w:rPr>
          <w:rFonts w:ascii="Times New Roman" w:hAnsi="Times New Roman" w:cs="Times New Roman"/>
          <w:noProof/>
        </w:rPr>
      </w:pPr>
    </w:p>
    <w:p w14:paraId="2B9B0923" w14:textId="48F999C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91 ndalon manipulimin e tregut dhe liston sjellje tipike si sinjale të rreme, çmime artificiale, mashtrim, shpërndarje informacioni të rremë, abuzim pozite, urdhra destabilizues, opinione me konflikt interesi të pashpallur etj.</w:t>
      </w:r>
    </w:p>
    <w:p w14:paraId="026EFA8E" w14:textId="77777777" w:rsidR="00FB52CF" w:rsidRDefault="00FB52CF" w:rsidP="00051667">
      <w:pPr>
        <w:spacing w:after="0" w:line="276" w:lineRule="auto"/>
        <w:jc w:val="both"/>
        <w:rPr>
          <w:rFonts w:ascii="Times New Roman" w:hAnsi="Times New Roman" w:cs="Times New Roman"/>
          <w:noProof/>
        </w:rPr>
      </w:pPr>
    </w:p>
    <w:p w14:paraId="75BA5E86" w14:textId="30B3F29B"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92 u kërkon subjekteve që ekzekutojnë transaksione të kenë masa/sisteme/procedura efektive për parandalim/zbulim dhe të raportojnë menjëherë urdhra/transaksione të dyshimta, me rregulla të detajuara dhe koordinim ndërkufitar nga autoritetet, 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w:t>
      </w:r>
      <w:r w:rsidR="00665016" w:rsidRPr="00051667">
        <w:rPr>
          <w:rFonts w:ascii="Times New Roman" w:hAnsi="Times New Roman" w:cs="Times New Roman"/>
          <w:noProof/>
        </w:rPr>
        <w:t>ë</w:t>
      </w:r>
      <w:r w:rsidRPr="00051667">
        <w:rPr>
          <w:rFonts w:ascii="Times New Roman" w:hAnsi="Times New Roman" w:cs="Times New Roman"/>
          <w:noProof/>
        </w:rPr>
        <w:t>sht</w:t>
      </w:r>
      <w:r w:rsidR="00665016" w:rsidRPr="00051667">
        <w:rPr>
          <w:rFonts w:ascii="Times New Roman" w:hAnsi="Times New Roman" w:cs="Times New Roman"/>
          <w:noProof/>
        </w:rPr>
        <w:t>ë</w:t>
      </w:r>
      <w:r w:rsidRPr="00051667">
        <w:rPr>
          <w:rFonts w:ascii="Times New Roman" w:hAnsi="Times New Roman" w:cs="Times New Roman"/>
          <w:noProof/>
        </w:rPr>
        <w:t xml:space="preserve"> e zbatueshme.</w:t>
      </w:r>
    </w:p>
    <w:p w14:paraId="5FC24BF5" w14:textId="77777777" w:rsidR="00FB52CF" w:rsidRDefault="00FB52CF" w:rsidP="00051667">
      <w:pPr>
        <w:spacing w:after="0" w:line="276" w:lineRule="auto"/>
        <w:jc w:val="both"/>
        <w:rPr>
          <w:rFonts w:ascii="Times New Roman" w:hAnsi="Times New Roman" w:cs="Times New Roman"/>
          <w:noProof/>
        </w:rPr>
      </w:pPr>
    </w:p>
    <w:p w14:paraId="09C94095" w14:textId="768ECFA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93 përkufizon autoritetet përgjegjëse (Autoriteti i Mbikëqyrjes Financiare dhe Banka e Shqipërisë), ndarjen e roleve dhe përgjegj</w:t>
      </w:r>
      <w:r w:rsidR="00665016" w:rsidRPr="00051667">
        <w:rPr>
          <w:rFonts w:ascii="Times New Roman" w:hAnsi="Times New Roman" w:cs="Times New Roman"/>
          <w:noProof/>
        </w:rPr>
        <w:t>ë</w:t>
      </w:r>
      <w:r w:rsidRPr="00051667">
        <w:rPr>
          <w:rFonts w:ascii="Times New Roman" w:hAnsi="Times New Roman" w:cs="Times New Roman"/>
          <w:noProof/>
        </w:rPr>
        <w:t>sive të tyre mbi ofruesit e shërbimeve të kripto-aseteve dhe emetuesit, si dhe bashkëpunimin e brendshëm.</w:t>
      </w:r>
    </w:p>
    <w:p w14:paraId="08BF3806" w14:textId="0BA10496"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94 liston kompetencat mbikëqyrëse dhe t</w:t>
      </w:r>
      <w:r w:rsidR="00665016" w:rsidRPr="00051667">
        <w:rPr>
          <w:rFonts w:ascii="Times New Roman" w:hAnsi="Times New Roman" w:cs="Times New Roman"/>
          <w:noProof/>
        </w:rPr>
        <w:t>ë</w:t>
      </w:r>
      <w:r w:rsidRPr="00051667">
        <w:rPr>
          <w:rFonts w:ascii="Times New Roman" w:hAnsi="Times New Roman" w:cs="Times New Roman"/>
          <w:noProof/>
        </w:rPr>
        <w:t xml:space="preserve"> hetimit administrativ të AMF dhe Bankës së Shqipërisë, duke përfshirë kërkesa informacioni, pezullime dhe ndalime, urdhra korrigjues, inspektime dhe masa mbi ndërfaqe online.</w:t>
      </w:r>
    </w:p>
    <w:p w14:paraId="723D2C4E" w14:textId="77777777" w:rsidR="00FB52CF" w:rsidRDefault="00FB52CF" w:rsidP="00051667">
      <w:pPr>
        <w:spacing w:after="0" w:line="276" w:lineRule="auto"/>
        <w:jc w:val="both"/>
        <w:rPr>
          <w:rFonts w:ascii="Times New Roman" w:hAnsi="Times New Roman" w:cs="Times New Roman"/>
          <w:noProof/>
        </w:rPr>
      </w:pPr>
    </w:p>
    <w:p w14:paraId="2AD4F1E2" w14:textId="3BE8EF9D"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95 vendos rregullat e bashkëpunimit ndërinstitucional, shkëmbimin e shpejtë të informacionit, arsyet e kufizuara për refuzim dhe koordinimin e inspektimeve.</w:t>
      </w:r>
    </w:p>
    <w:p w14:paraId="4986E0DE" w14:textId="77777777" w:rsidR="00FB52CF" w:rsidRDefault="00FB52CF" w:rsidP="00051667">
      <w:pPr>
        <w:spacing w:after="0" w:line="276" w:lineRule="auto"/>
        <w:jc w:val="both"/>
        <w:rPr>
          <w:rFonts w:ascii="Times New Roman" w:hAnsi="Times New Roman" w:cs="Times New Roman"/>
          <w:noProof/>
        </w:rPr>
      </w:pPr>
    </w:p>
    <w:p w14:paraId="46502B51" w14:textId="2FD9971C"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96 sanksionon bashkëpunimin me autoritetet e huaja ose nd</w:t>
      </w:r>
      <w:r w:rsidR="00665016" w:rsidRPr="00051667">
        <w:rPr>
          <w:rFonts w:ascii="Times New Roman" w:hAnsi="Times New Roman" w:cs="Times New Roman"/>
          <w:noProof/>
        </w:rPr>
        <w:t>ë</w:t>
      </w:r>
      <w:r w:rsidRPr="00051667">
        <w:rPr>
          <w:rFonts w:ascii="Times New Roman" w:hAnsi="Times New Roman" w:cs="Times New Roman"/>
          <w:noProof/>
        </w:rPr>
        <w:t>rkomb</w:t>
      </w:r>
      <w:r w:rsidR="00665016" w:rsidRPr="00051667">
        <w:rPr>
          <w:rFonts w:ascii="Times New Roman" w:hAnsi="Times New Roman" w:cs="Times New Roman"/>
          <w:noProof/>
        </w:rPr>
        <w:t>ë</w:t>
      </w:r>
      <w:r w:rsidRPr="00051667">
        <w:rPr>
          <w:rFonts w:ascii="Times New Roman" w:hAnsi="Times New Roman" w:cs="Times New Roman"/>
          <w:noProof/>
        </w:rPr>
        <w:t>tare si dhe miratimin e formateve standarde për shkëmbim informacioni.</w:t>
      </w:r>
    </w:p>
    <w:p w14:paraId="40FC3A32" w14:textId="77777777" w:rsidR="00FB52CF" w:rsidRDefault="00FB52CF" w:rsidP="00051667">
      <w:pPr>
        <w:spacing w:after="0" w:line="276" w:lineRule="auto"/>
        <w:jc w:val="both"/>
        <w:rPr>
          <w:rFonts w:ascii="Times New Roman" w:hAnsi="Times New Roman" w:cs="Times New Roman"/>
          <w:noProof/>
        </w:rPr>
      </w:pPr>
    </w:p>
    <w:p w14:paraId="0C9A8F75" w14:textId="2751660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97  ngarkon AMF-</w:t>
      </w:r>
      <w:r w:rsidR="0090713E" w:rsidRPr="00051667">
        <w:rPr>
          <w:rFonts w:ascii="Times New Roman" w:hAnsi="Times New Roman" w:cs="Times New Roman"/>
          <w:noProof/>
        </w:rPr>
        <w:t>në</w:t>
      </w:r>
      <w:r w:rsidRPr="00051667">
        <w:rPr>
          <w:rFonts w:ascii="Times New Roman" w:hAnsi="Times New Roman" w:cs="Times New Roman"/>
          <w:noProof/>
        </w:rPr>
        <w:t xml:space="preserve"> të hartoj</w:t>
      </w:r>
      <w:r w:rsidR="00665016" w:rsidRPr="00051667">
        <w:rPr>
          <w:rFonts w:ascii="Times New Roman" w:hAnsi="Times New Roman" w:cs="Times New Roman"/>
          <w:noProof/>
        </w:rPr>
        <w:t>ë</w:t>
      </w:r>
      <w:r w:rsidRPr="00051667">
        <w:rPr>
          <w:rFonts w:ascii="Times New Roman" w:hAnsi="Times New Roman" w:cs="Times New Roman"/>
          <w:noProof/>
        </w:rPr>
        <w:t xml:space="preserve"> rregulla </w:t>
      </w:r>
      <w:r w:rsidR="0090713E" w:rsidRPr="00051667">
        <w:rPr>
          <w:rFonts w:ascii="Times New Roman" w:hAnsi="Times New Roman" w:cs="Times New Roman"/>
          <w:noProof/>
        </w:rPr>
        <w:t xml:space="preserve">për </w:t>
      </w:r>
      <w:r w:rsidRPr="00051667">
        <w:rPr>
          <w:rFonts w:ascii="Times New Roman" w:hAnsi="Times New Roman" w:cs="Times New Roman"/>
          <w:noProof/>
        </w:rPr>
        <w:t>klasifikimin e tokenit t</w:t>
      </w:r>
      <w:r w:rsidR="00665016" w:rsidRPr="00051667">
        <w:rPr>
          <w:rFonts w:ascii="Times New Roman" w:hAnsi="Times New Roman" w:cs="Times New Roman"/>
          <w:noProof/>
        </w:rPr>
        <w:t>ë</w:t>
      </w:r>
      <w:r w:rsidRPr="00051667">
        <w:rPr>
          <w:rFonts w:ascii="Times New Roman" w:hAnsi="Times New Roman" w:cs="Times New Roman"/>
          <w:noProof/>
        </w:rPr>
        <w:t xml:space="preserve"> aseteve dhe testin standard q</w:t>
      </w:r>
      <w:r w:rsidR="00665016" w:rsidRPr="00051667">
        <w:rPr>
          <w:rFonts w:ascii="Times New Roman" w:hAnsi="Times New Roman" w:cs="Times New Roman"/>
          <w:noProof/>
        </w:rPr>
        <w:t>ë</w:t>
      </w:r>
      <w:r w:rsidRPr="00051667">
        <w:rPr>
          <w:rFonts w:ascii="Times New Roman" w:hAnsi="Times New Roman" w:cs="Times New Roman"/>
          <w:noProof/>
        </w:rPr>
        <w:t xml:space="preserve"> do t</w:t>
      </w:r>
      <w:r w:rsidR="00665016" w:rsidRPr="00051667">
        <w:rPr>
          <w:rFonts w:ascii="Times New Roman" w:hAnsi="Times New Roman" w:cs="Times New Roman"/>
          <w:noProof/>
        </w:rPr>
        <w:t>ë</w:t>
      </w:r>
      <w:r w:rsidRPr="00051667">
        <w:rPr>
          <w:rFonts w:ascii="Times New Roman" w:hAnsi="Times New Roman" w:cs="Times New Roman"/>
          <w:noProof/>
        </w:rPr>
        <w:t xml:space="preserve"> aplikohet n</w:t>
      </w:r>
      <w:r w:rsidR="00665016" w:rsidRPr="00051667">
        <w:rPr>
          <w:rFonts w:ascii="Times New Roman" w:hAnsi="Times New Roman" w:cs="Times New Roman"/>
          <w:noProof/>
        </w:rPr>
        <w:t>ë</w:t>
      </w:r>
      <w:r w:rsidRPr="00051667">
        <w:rPr>
          <w:rFonts w:ascii="Times New Roman" w:hAnsi="Times New Roman" w:cs="Times New Roman"/>
          <w:noProof/>
        </w:rPr>
        <w:t xml:space="preserve"> funksion t</w:t>
      </w:r>
      <w:r w:rsidR="00665016" w:rsidRPr="00051667">
        <w:rPr>
          <w:rFonts w:ascii="Times New Roman" w:hAnsi="Times New Roman" w:cs="Times New Roman"/>
          <w:noProof/>
        </w:rPr>
        <w:t>ë</w:t>
      </w:r>
      <w:r w:rsidRPr="00051667">
        <w:rPr>
          <w:rFonts w:ascii="Times New Roman" w:hAnsi="Times New Roman" w:cs="Times New Roman"/>
          <w:noProof/>
        </w:rPr>
        <w:t xml:space="preserve"> kryerjes s</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tij klasifikimi</w:t>
      </w:r>
      <w:r w:rsidR="0090713E" w:rsidRPr="00051667">
        <w:rPr>
          <w:rFonts w:ascii="Times New Roman" w:hAnsi="Times New Roman" w:cs="Times New Roman"/>
          <w:noProof/>
        </w:rPr>
        <w:t>.</w:t>
      </w:r>
    </w:p>
    <w:p w14:paraId="74C5A9F4" w14:textId="77777777" w:rsidR="00FB52CF" w:rsidRDefault="00FB52CF" w:rsidP="00051667">
      <w:pPr>
        <w:spacing w:after="0" w:line="276" w:lineRule="auto"/>
        <w:jc w:val="both"/>
        <w:rPr>
          <w:rFonts w:ascii="Times New Roman" w:hAnsi="Times New Roman" w:cs="Times New Roman"/>
          <w:noProof/>
        </w:rPr>
      </w:pPr>
    </w:p>
    <w:p w14:paraId="207E247E" w14:textId="719B7AD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98 kërkon bashkëpunim me autoritete të tjera 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subjektet ushtrojn</w:t>
      </w:r>
      <w:r w:rsidR="00665016" w:rsidRPr="00051667">
        <w:rPr>
          <w:rFonts w:ascii="Times New Roman" w:hAnsi="Times New Roman" w:cs="Times New Roman"/>
          <w:noProof/>
        </w:rPr>
        <w:t>ë</w:t>
      </w:r>
      <w:r w:rsidRPr="00051667">
        <w:rPr>
          <w:rFonts w:ascii="Times New Roman" w:hAnsi="Times New Roman" w:cs="Times New Roman"/>
          <w:noProof/>
        </w:rPr>
        <w:t xml:space="preserve"> veprimtari t</w:t>
      </w:r>
      <w:r w:rsidR="00665016" w:rsidRPr="00051667">
        <w:rPr>
          <w:rFonts w:ascii="Times New Roman" w:hAnsi="Times New Roman" w:cs="Times New Roman"/>
          <w:noProof/>
        </w:rPr>
        <w:t>ë</w:t>
      </w:r>
      <w:r w:rsidRPr="00051667">
        <w:rPr>
          <w:rFonts w:ascii="Times New Roman" w:hAnsi="Times New Roman" w:cs="Times New Roman"/>
          <w:noProof/>
        </w:rPr>
        <w:t xml:space="preserve"> tjera t</w:t>
      </w:r>
      <w:r w:rsidR="00665016" w:rsidRPr="00051667">
        <w:rPr>
          <w:rFonts w:ascii="Times New Roman" w:hAnsi="Times New Roman" w:cs="Times New Roman"/>
          <w:noProof/>
        </w:rPr>
        <w:t>ë</w:t>
      </w:r>
      <w:r w:rsidRPr="00051667">
        <w:rPr>
          <w:rFonts w:ascii="Times New Roman" w:hAnsi="Times New Roman" w:cs="Times New Roman"/>
          <w:noProof/>
        </w:rPr>
        <w:t xml:space="preserve"> cilat jan</w:t>
      </w:r>
      <w:r w:rsidR="00665016" w:rsidRPr="00051667">
        <w:rPr>
          <w:rFonts w:ascii="Times New Roman" w:hAnsi="Times New Roman" w:cs="Times New Roman"/>
          <w:noProof/>
        </w:rPr>
        <w:t>ë</w:t>
      </w:r>
      <w:r w:rsidRPr="00051667">
        <w:rPr>
          <w:rFonts w:ascii="Times New Roman" w:hAnsi="Times New Roman" w:cs="Times New Roman"/>
          <w:noProof/>
        </w:rPr>
        <w:t xml:space="preserve"> objekt mbik</w:t>
      </w:r>
      <w:r w:rsidR="00665016" w:rsidRPr="00051667">
        <w:rPr>
          <w:rFonts w:ascii="Times New Roman" w:hAnsi="Times New Roman" w:cs="Times New Roman"/>
          <w:noProof/>
        </w:rPr>
        <w:t>ë</w:t>
      </w:r>
      <w:r w:rsidRPr="00051667">
        <w:rPr>
          <w:rFonts w:ascii="Times New Roman" w:hAnsi="Times New Roman" w:cs="Times New Roman"/>
          <w:noProof/>
        </w:rPr>
        <w:t>qyrjeje nga nje autoritet tjet</w:t>
      </w:r>
      <w:r w:rsidR="00665016" w:rsidRPr="00051667">
        <w:rPr>
          <w:rFonts w:ascii="Times New Roman" w:hAnsi="Times New Roman" w:cs="Times New Roman"/>
          <w:noProof/>
        </w:rPr>
        <w:t>ë</w:t>
      </w:r>
      <w:r w:rsidRPr="00051667">
        <w:rPr>
          <w:rFonts w:ascii="Times New Roman" w:hAnsi="Times New Roman" w:cs="Times New Roman"/>
          <w:noProof/>
        </w:rPr>
        <w:t>r mbik</w:t>
      </w:r>
      <w:r w:rsidR="00665016" w:rsidRPr="00051667">
        <w:rPr>
          <w:rFonts w:ascii="Times New Roman" w:hAnsi="Times New Roman" w:cs="Times New Roman"/>
          <w:noProof/>
        </w:rPr>
        <w:t>ë</w:t>
      </w:r>
      <w:r w:rsidRPr="00051667">
        <w:rPr>
          <w:rFonts w:ascii="Times New Roman" w:hAnsi="Times New Roman" w:cs="Times New Roman"/>
          <w:noProof/>
        </w:rPr>
        <w:t>qyr</w:t>
      </w:r>
      <w:r w:rsidR="00665016" w:rsidRPr="00051667">
        <w:rPr>
          <w:rFonts w:ascii="Times New Roman" w:hAnsi="Times New Roman" w:cs="Times New Roman"/>
          <w:noProof/>
        </w:rPr>
        <w:t>ë</w:t>
      </w:r>
      <w:r w:rsidRPr="00051667">
        <w:rPr>
          <w:rFonts w:ascii="Times New Roman" w:hAnsi="Times New Roman" w:cs="Times New Roman"/>
          <w:noProof/>
        </w:rPr>
        <w:t>s.</w:t>
      </w:r>
    </w:p>
    <w:p w14:paraId="172E9875" w14:textId="77777777" w:rsidR="00FB52CF" w:rsidRDefault="00FB52CF" w:rsidP="00051667">
      <w:pPr>
        <w:spacing w:after="0" w:line="276" w:lineRule="auto"/>
        <w:jc w:val="both"/>
        <w:rPr>
          <w:rFonts w:ascii="Times New Roman" w:hAnsi="Times New Roman" w:cs="Times New Roman"/>
          <w:noProof/>
        </w:rPr>
      </w:pPr>
    </w:p>
    <w:p w14:paraId="224AB6F7" w14:textId="78C420E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99 detyron autoritetet të njoftojnë Komisionin Evropian për aktet e zbatimit dhe ndryshimet përkatëse.</w:t>
      </w:r>
    </w:p>
    <w:p w14:paraId="0C2629FA" w14:textId="77777777" w:rsidR="00FB52CF" w:rsidRDefault="00FB52CF" w:rsidP="00051667">
      <w:pPr>
        <w:spacing w:after="0" w:line="276" w:lineRule="auto"/>
        <w:jc w:val="both"/>
        <w:rPr>
          <w:rFonts w:ascii="Times New Roman" w:hAnsi="Times New Roman" w:cs="Times New Roman"/>
          <w:noProof/>
        </w:rPr>
      </w:pPr>
    </w:p>
    <w:p w14:paraId="2759D642" w14:textId="5E15FA0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100 vendos sekretin profesional për informacionin e shkëmbyer ndërmjet autoriteteve dhe kufizon zbulimin vetëm kur lejohet nga ligji.</w:t>
      </w:r>
    </w:p>
    <w:p w14:paraId="3CABBE11" w14:textId="77777777" w:rsidR="00FB52CF" w:rsidRDefault="00FB52CF" w:rsidP="00051667">
      <w:pPr>
        <w:spacing w:after="0" w:line="276" w:lineRule="auto"/>
        <w:jc w:val="both"/>
        <w:rPr>
          <w:rFonts w:ascii="Times New Roman" w:hAnsi="Times New Roman" w:cs="Times New Roman"/>
          <w:noProof/>
        </w:rPr>
      </w:pPr>
    </w:p>
    <w:p w14:paraId="3C7D621E" w14:textId="2F251537"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101 kërkon respektimin e legjislacionit për mbrojtjen e të dhënave personale nga autoritetet përgjegjëse.</w:t>
      </w:r>
    </w:p>
    <w:p w14:paraId="660AA81A" w14:textId="77777777" w:rsidR="00FB52CF" w:rsidRDefault="00FB52CF" w:rsidP="00051667">
      <w:pPr>
        <w:spacing w:after="0" w:line="276" w:lineRule="auto"/>
        <w:jc w:val="both"/>
        <w:rPr>
          <w:rFonts w:ascii="Times New Roman" w:hAnsi="Times New Roman" w:cs="Times New Roman"/>
          <w:noProof/>
        </w:rPr>
      </w:pPr>
    </w:p>
    <w:p w14:paraId="3129DEF5" w14:textId="23A758E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102 parashikon masa paraprake dhe njoftime ndërkufitare kur zbulohen parregullsi, si dhe ndërhyrje mbrojtëse nëse shkeljet vazhdojnë.</w:t>
      </w:r>
    </w:p>
    <w:p w14:paraId="431D93F9" w14:textId="77777777" w:rsidR="00FB52CF" w:rsidRDefault="00FB52CF" w:rsidP="00051667">
      <w:pPr>
        <w:spacing w:after="0" w:line="276" w:lineRule="auto"/>
        <w:jc w:val="both"/>
        <w:rPr>
          <w:rFonts w:ascii="Times New Roman" w:hAnsi="Times New Roman" w:cs="Times New Roman"/>
          <w:noProof/>
        </w:rPr>
      </w:pPr>
    </w:p>
    <w:p w14:paraId="2E5B307A" w14:textId="41DFD5E5"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103 është i paaplikueshëm deri në aderimin në Bashkimin Evropian dhe përshkruan fuqitë ndërhyrëse të përkohshme të ESMA-s.</w:t>
      </w:r>
    </w:p>
    <w:p w14:paraId="23893F91" w14:textId="77777777" w:rsidR="00FB52CF" w:rsidRDefault="00FB52CF" w:rsidP="00051667">
      <w:pPr>
        <w:spacing w:after="0" w:line="276" w:lineRule="auto"/>
        <w:jc w:val="both"/>
        <w:rPr>
          <w:rFonts w:ascii="Times New Roman" w:hAnsi="Times New Roman" w:cs="Times New Roman"/>
          <w:noProof/>
        </w:rPr>
      </w:pPr>
    </w:p>
    <w:p w14:paraId="7B5F7921" w14:textId="60C292D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104 është i paaplikueshëm deri në aderimin në Bashkimin Evropian dhe përshkruan fuqitë ndërhyrëse të përkohshme të EBA-s.</w:t>
      </w:r>
    </w:p>
    <w:p w14:paraId="52640658" w14:textId="77777777" w:rsidR="00FB52CF" w:rsidRDefault="00FB52CF" w:rsidP="00051667">
      <w:pPr>
        <w:spacing w:after="0" w:line="276" w:lineRule="auto"/>
        <w:jc w:val="both"/>
        <w:rPr>
          <w:rFonts w:ascii="Times New Roman" w:hAnsi="Times New Roman" w:cs="Times New Roman"/>
          <w:noProof/>
        </w:rPr>
      </w:pPr>
    </w:p>
    <w:p w14:paraId="18B6EBC4" w14:textId="63586D3F"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105 u lejon autoriteteve të ndalojnë ose kufizojnë kripto-asete ose praktika të rrezikshme kur ka rrezik për investitorët, tregjet ose stabilitetin financiar, me kushte proporcionaliteti dhe njoftimi paraprak.</w:t>
      </w:r>
    </w:p>
    <w:p w14:paraId="523BC566" w14:textId="77777777" w:rsidR="00FB52CF" w:rsidRDefault="00FB52CF" w:rsidP="00051667">
      <w:pPr>
        <w:spacing w:after="0" w:line="276" w:lineRule="auto"/>
        <w:jc w:val="both"/>
        <w:rPr>
          <w:rFonts w:ascii="Times New Roman" w:hAnsi="Times New Roman" w:cs="Times New Roman"/>
          <w:noProof/>
        </w:rPr>
      </w:pPr>
    </w:p>
    <w:p w14:paraId="3C7F6C96" w14:textId="62542C7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106 parashikon koordinimin me ESMA dhe EBA dhe dhënien e opinioneve mbi masat e ndalimit ose kufizimit</w:t>
      </w:r>
      <w:r w:rsidR="009B3C11" w:rsidRPr="00051667">
        <w:rPr>
          <w:rFonts w:ascii="Times New Roman" w:hAnsi="Times New Roman" w:cs="Times New Roman"/>
          <w:noProof/>
        </w:rPr>
        <w:t xml:space="preserve"> dhe do t</w:t>
      </w:r>
      <w:r w:rsidR="00FD18FB" w:rsidRPr="00051667">
        <w:rPr>
          <w:rFonts w:ascii="Times New Roman" w:hAnsi="Times New Roman" w:cs="Times New Roman"/>
          <w:noProof/>
        </w:rPr>
        <w:t>ë</w:t>
      </w:r>
      <w:r w:rsidR="009B3C11" w:rsidRPr="00051667">
        <w:rPr>
          <w:rFonts w:ascii="Times New Roman" w:hAnsi="Times New Roman" w:cs="Times New Roman"/>
          <w:noProof/>
        </w:rPr>
        <w:t xml:space="preserve"> b</w:t>
      </w:r>
      <w:r w:rsidR="00FD18FB" w:rsidRPr="00051667">
        <w:rPr>
          <w:rFonts w:ascii="Times New Roman" w:hAnsi="Times New Roman" w:cs="Times New Roman"/>
          <w:noProof/>
        </w:rPr>
        <w:t>ë</w:t>
      </w:r>
      <w:r w:rsidR="009B3C11" w:rsidRPr="00051667">
        <w:rPr>
          <w:rFonts w:ascii="Times New Roman" w:hAnsi="Times New Roman" w:cs="Times New Roman"/>
          <w:noProof/>
        </w:rPr>
        <w:t>het i aplikuesh</w:t>
      </w:r>
      <w:r w:rsidR="00FD18FB" w:rsidRPr="00051667">
        <w:rPr>
          <w:rFonts w:ascii="Times New Roman" w:hAnsi="Times New Roman" w:cs="Times New Roman"/>
          <w:noProof/>
        </w:rPr>
        <w:t>ë</w:t>
      </w:r>
      <w:r w:rsidR="009B3C11" w:rsidRPr="00051667">
        <w:rPr>
          <w:rFonts w:ascii="Times New Roman" w:hAnsi="Times New Roman" w:cs="Times New Roman"/>
          <w:noProof/>
        </w:rPr>
        <w:t>m n</w:t>
      </w:r>
      <w:r w:rsidR="00FD18FB" w:rsidRPr="00051667">
        <w:rPr>
          <w:rFonts w:ascii="Times New Roman" w:hAnsi="Times New Roman" w:cs="Times New Roman"/>
          <w:noProof/>
        </w:rPr>
        <w:t>ë</w:t>
      </w:r>
      <w:r w:rsidR="009B3C11" w:rsidRPr="00051667">
        <w:rPr>
          <w:rFonts w:ascii="Times New Roman" w:hAnsi="Times New Roman" w:cs="Times New Roman"/>
          <w:noProof/>
        </w:rPr>
        <w:t xml:space="preserve"> momentin e </w:t>
      </w:r>
      <w:r w:rsidR="00C51C57" w:rsidRPr="00051667">
        <w:rPr>
          <w:rFonts w:ascii="Times New Roman" w:hAnsi="Times New Roman" w:cs="Times New Roman"/>
          <w:noProof/>
        </w:rPr>
        <w:t>aderimit t</w:t>
      </w:r>
      <w:r w:rsidR="00FD18FB" w:rsidRPr="00051667">
        <w:rPr>
          <w:rFonts w:ascii="Times New Roman" w:hAnsi="Times New Roman" w:cs="Times New Roman"/>
          <w:noProof/>
        </w:rPr>
        <w:t>ë</w:t>
      </w:r>
      <w:r w:rsidR="00C51C57" w:rsidRPr="00051667">
        <w:rPr>
          <w:rFonts w:ascii="Times New Roman" w:hAnsi="Times New Roman" w:cs="Times New Roman"/>
          <w:noProof/>
        </w:rPr>
        <w:t xml:space="preserve"> Shqip</w:t>
      </w:r>
      <w:r w:rsidR="00FD18FB" w:rsidRPr="00051667">
        <w:rPr>
          <w:rFonts w:ascii="Times New Roman" w:hAnsi="Times New Roman" w:cs="Times New Roman"/>
          <w:noProof/>
        </w:rPr>
        <w:t>ë</w:t>
      </w:r>
      <w:r w:rsidR="00C51C57" w:rsidRPr="00051667">
        <w:rPr>
          <w:rFonts w:ascii="Times New Roman" w:hAnsi="Times New Roman" w:cs="Times New Roman"/>
          <w:noProof/>
        </w:rPr>
        <w:t>ris</w:t>
      </w:r>
      <w:r w:rsidR="00FD18FB" w:rsidRPr="00051667">
        <w:rPr>
          <w:rFonts w:ascii="Times New Roman" w:hAnsi="Times New Roman" w:cs="Times New Roman"/>
          <w:noProof/>
        </w:rPr>
        <w:t>ë</w:t>
      </w:r>
      <w:r w:rsidR="00C51C57" w:rsidRPr="00051667">
        <w:rPr>
          <w:rFonts w:ascii="Times New Roman" w:hAnsi="Times New Roman" w:cs="Times New Roman"/>
          <w:noProof/>
        </w:rPr>
        <w:t xml:space="preserve"> n</w:t>
      </w:r>
      <w:r w:rsidR="00FD18FB" w:rsidRPr="00051667">
        <w:rPr>
          <w:rFonts w:ascii="Times New Roman" w:hAnsi="Times New Roman" w:cs="Times New Roman"/>
          <w:noProof/>
        </w:rPr>
        <w:t>ë</w:t>
      </w:r>
      <w:r w:rsidR="00C51C57" w:rsidRPr="00051667">
        <w:rPr>
          <w:rFonts w:ascii="Times New Roman" w:hAnsi="Times New Roman" w:cs="Times New Roman"/>
          <w:noProof/>
        </w:rPr>
        <w:t xml:space="preserve"> BE</w:t>
      </w:r>
      <w:r w:rsidRPr="00051667">
        <w:rPr>
          <w:rFonts w:ascii="Times New Roman" w:hAnsi="Times New Roman" w:cs="Times New Roman"/>
          <w:noProof/>
        </w:rPr>
        <w:t>.</w:t>
      </w:r>
    </w:p>
    <w:p w14:paraId="22B82058" w14:textId="77777777" w:rsidR="00335E96" w:rsidRDefault="00335E96" w:rsidP="00051667">
      <w:pPr>
        <w:spacing w:after="0" w:line="276" w:lineRule="auto"/>
        <w:jc w:val="both"/>
        <w:rPr>
          <w:rFonts w:ascii="Times New Roman" w:hAnsi="Times New Roman" w:cs="Times New Roman"/>
          <w:noProof/>
        </w:rPr>
      </w:pPr>
    </w:p>
    <w:p w14:paraId="7F757AAC" w14:textId="3B2C0492"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107 mundëson marrëveshje bashkëpunimi me shtete të tjera dhe standarde formati t</w:t>
      </w:r>
      <w:r w:rsidR="00665016" w:rsidRPr="00051667">
        <w:rPr>
          <w:rFonts w:ascii="Times New Roman" w:hAnsi="Times New Roman" w:cs="Times New Roman"/>
          <w:noProof/>
        </w:rPr>
        <w:t>ë</w:t>
      </w:r>
      <w:r w:rsidRPr="00051667">
        <w:rPr>
          <w:rFonts w:ascii="Times New Roman" w:hAnsi="Times New Roman" w:cs="Times New Roman"/>
          <w:noProof/>
        </w:rPr>
        <w:t xml:space="preserve"> k</w:t>
      </w:r>
      <w:r w:rsidR="00665016" w:rsidRPr="00051667">
        <w:rPr>
          <w:rFonts w:ascii="Times New Roman" w:hAnsi="Times New Roman" w:cs="Times New Roman"/>
          <w:noProof/>
        </w:rPr>
        <w:t>ë</w:t>
      </w:r>
      <w:r w:rsidRPr="00051667">
        <w:rPr>
          <w:rFonts w:ascii="Times New Roman" w:hAnsi="Times New Roman" w:cs="Times New Roman"/>
          <w:noProof/>
        </w:rPr>
        <w:t>tyre marr</w:t>
      </w:r>
      <w:r w:rsidR="00665016" w:rsidRPr="00051667">
        <w:rPr>
          <w:rFonts w:ascii="Times New Roman" w:hAnsi="Times New Roman" w:cs="Times New Roman"/>
          <w:noProof/>
        </w:rPr>
        <w:t>ë</w:t>
      </w:r>
      <w:r w:rsidRPr="00051667">
        <w:rPr>
          <w:rFonts w:ascii="Times New Roman" w:hAnsi="Times New Roman" w:cs="Times New Roman"/>
          <w:noProof/>
        </w:rPr>
        <w:t>veshjeve t</w:t>
      </w:r>
      <w:r w:rsidR="00665016" w:rsidRPr="00051667">
        <w:rPr>
          <w:rFonts w:ascii="Times New Roman" w:hAnsi="Times New Roman" w:cs="Times New Roman"/>
          <w:noProof/>
        </w:rPr>
        <w:t>ë</w:t>
      </w:r>
      <w:r w:rsidRPr="00051667">
        <w:rPr>
          <w:rFonts w:ascii="Times New Roman" w:hAnsi="Times New Roman" w:cs="Times New Roman"/>
          <w:noProof/>
        </w:rPr>
        <w:t xml:space="preserve"> cilat do t</w:t>
      </w:r>
      <w:r w:rsidR="00665016" w:rsidRPr="00051667">
        <w:rPr>
          <w:rFonts w:ascii="Times New Roman" w:hAnsi="Times New Roman" w:cs="Times New Roman"/>
          <w:noProof/>
        </w:rPr>
        <w:t>ë</w:t>
      </w:r>
      <w:r w:rsidRPr="00051667">
        <w:rPr>
          <w:rFonts w:ascii="Times New Roman" w:hAnsi="Times New Roman" w:cs="Times New Roman"/>
          <w:noProof/>
        </w:rPr>
        <w:t xml:space="preserve"> p</w:t>
      </w:r>
      <w:r w:rsidR="00665016" w:rsidRPr="00051667">
        <w:rPr>
          <w:rFonts w:ascii="Times New Roman" w:hAnsi="Times New Roman" w:cs="Times New Roman"/>
          <w:noProof/>
        </w:rPr>
        <w:t>ë</w:t>
      </w:r>
      <w:r w:rsidRPr="00051667">
        <w:rPr>
          <w:rFonts w:ascii="Times New Roman" w:hAnsi="Times New Roman" w:cs="Times New Roman"/>
          <w:noProof/>
        </w:rPr>
        <w:t>rcaktohen me rregullore nga AMF dhe Banka e Shqipërisë.</w:t>
      </w:r>
    </w:p>
    <w:p w14:paraId="6C43A90E" w14:textId="77777777" w:rsidR="00FB52CF" w:rsidRDefault="00FB52CF" w:rsidP="00051667">
      <w:pPr>
        <w:spacing w:after="0" w:line="276" w:lineRule="auto"/>
        <w:jc w:val="both"/>
        <w:rPr>
          <w:rFonts w:ascii="Times New Roman" w:hAnsi="Times New Roman" w:cs="Times New Roman"/>
          <w:noProof/>
        </w:rPr>
      </w:pPr>
    </w:p>
    <w:p w14:paraId="58F023ED" w14:textId="40977E4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108 detyron autoritetet të hartojn</w:t>
      </w:r>
      <w:r w:rsidR="00665016" w:rsidRPr="00051667">
        <w:rPr>
          <w:rFonts w:ascii="Times New Roman" w:hAnsi="Times New Roman" w:cs="Times New Roman"/>
          <w:noProof/>
        </w:rPr>
        <w:t>ë</w:t>
      </w:r>
      <w:r w:rsidRPr="00051667">
        <w:rPr>
          <w:rFonts w:ascii="Times New Roman" w:hAnsi="Times New Roman" w:cs="Times New Roman"/>
          <w:noProof/>
        </w:rPr>
        <w:t xml:space="preserve"> dhe implementojm</w:t>
      </w:r>
      <w:r w:rsidR="00665016" w:rsidRPr="00051667">
        <w:rPr>
          <w:rFonts w:ascii="Times New Roman" w:hAnsi="Times New Roman" w:cs="Times New Roman"/>
          <w:noProof/>
        </w:rPr>
        <w:t>ë</w:t>
      </w:r>
      <w:r w:rsidRPr="00051667">
        <w:rPr>
          <w:rFonts w:ascii="Times New Roman" w:hAnsi="Times New Roman" w:cs="Times New Roman"/>
          <w:noProof/>
        </w:rPr>
        <w:t xml:space="preserve"> procedura p</w:t>
      </w:r>
      <w:r w:rsidR="00665016" w:rsidRPr="00051667">
        <w:rPr>
          <w:rFonts w:ascii="Times New Roman" w:hAnsi="Times New Roman" w:cs="Times New Roman"/>
          <w:noProof/>
        </w:rPr>
        <w:t>ë</w:t>
      </w:r>
      <w:r w:rsidRPr="00051667">
        <w:rPr>
          <w:rFonts w:ascii="Times New Roman" w:hAnsi="Times New Roman" w:cs="Times New Roman"/>
          <w:noProof/>
        </w:rPr>
        <w:t xml:space="preserve">r </w:t>
      </w:r>
      <w:r w:rsidR="00335E96">
        <w:rPr>
          <w:rFonts w:ascii="Times New Roman" w:hAnsi="Times New Roman" w:cs="Times New Roman"/>
          <w:noProof/>
        </w:rPr>
        <w:t xml:space="preserve">trajtimin e </w:t>
      </w:r>
      <w:r w:rsidRPr="00051667">
        <w:rPr>
          <w:rFonts w:ascii="Times New Roman" w:hAnsi="Times New Roman" w:cs="Times New Roman"/>
          <w:noProof/>
        </w:rPr>
        <w:t>ankesa</w:t>
      </w:r>
      <w:r w:rsidR="00335E96">
        <w:rPr>
          <w:rFonts w:ascii="Times New Roman" w:hAnsi="Times New Roman" w:cs="Times New Roman"/>
          <w:noProof/>
        </w:rPr>
        <w:t>ve</w:t>
      </w:r>
      <w:r w:rsidRPr="00051667">
        <w:rPr>
          <w:rFonts w:ascii="Times New Roman" w:hAnsi="Times New Roman" w:cs="Times New Roman"/>
          <w:noProof/>
        </w:rPr>
        <w:t xml:space="preserve"> në formë të shkruar dhe elektronike në gjuhën shqipe dhe t’i publikojnë ato në faqet zyrtare.</w:t>
      </w:r>
    </w:p>
    <w:p w14:paraId="4EFED691" w14:textId="77777777" w:rsidR="00FB52CF" w:rsidRDefault="00FB52CF" w:rsidP="00051667">
      <w:pPr>
        <w:spacing w:after="0" w:line="276" w:lineRule="auto"/>
        <w:jc w:val="both"/>
        <w:rPr>
          <w:rFonts w:ascii="Times New Roman" w:hAnsi="Times New Roman" w:cs="Times New Roman"/>
          <w:noProof/>
        </w:rPr>
      </w:pPr>
    </w:p>
    <w:p w14:paraId="0F9F164A" w14:textId="3F377E8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109 p</w:t>
      </w:r>
      <w:r w:rsidR="00665016" w:rsidRPr="00051667">
        <w:rPr>
          <w:rFonts w:ascii="Times New Roman" w:hAnsi="Times New Roman" w:cs="Times New Roman"/>
          <w:noProof/>
        </w:rPr>
        <w:t>ë</w:t>
      </w:r>
      <w:r w:rsidRPr="00051667">
        <w:rPr>
          <w:rFonts w:ascii="Times New Roman" w:hAnsi="Times New Roman" w:cs="Times New Roman"/>
          <w:noProof/>
        </w:rPr>
        <w:t>rcakton detyrimin e AMF të krijojë regjistra publikë dhe të përditësuar për dokumentet informuese, emetuesit e tokenave të asetit dhe të parasë elektronike, si dhe ofruesit e shërbimeve të kripto-aseteve, duke raportuar edhe masat kryesore t</w:t>
      </w:r>
      <w:r w:rsidR="00665016" w:rsidRPr="00051667">
        <w:rPr>
          <w:rFonts w:ascii="Times New Roman" w:hAnsi="Times New Roman" w:cs="Times New Roman"/>
          <w:noProof/>
        </w:rPr>
        <w:t>ë</w:t>
      </w:r>
      <w:r w:rsidRPr="00051667">
        <w:rPr>
          <w:rFonts w:ascii="Times New Roman" w:hAnsi="Times New Roman" w:cs="Times New Roman"/>
          <w:noProof/>
        </w:rPr>
        <w:t xml:space="preserve"> nd</w:t>
      </w:r>
      <w:r w:rsidR="00665016" w:rsidRPr="00051667">
        <w:rPr>
          <w:rFonts w:ascii="Times New Roman" w:hAnsi="Times New Roman" w:cs="Times New Roman"/>
          <w:noProof/>
        </w:rPr>
        <w:t>ë</w:t>
      </w:r>
      <w:r w:rsidRPr="00051667">
        <w:rPr>
          <w:rFonts w:ascii="Times New Roman" w:hAnsi="Times New Roman" w:cs="Times New Roman"/>
          <w:noProof/>
        </w:rPr>
        <w:t>rmarra kundrejt tyre.</w:t>
      </w:r>
    </w:p>
    <w:p w14:paraId="17D771DA" w14:textId="77777777" w:rsidR="00FB52CF" w:rsidRDefault="00FB52CF" w:rsidP="00051667">
      <w:pPr>
        <w:spacing w:after="0" w:line="276" w:lineRule="auto"/>
        <w:jc w:val="both"/>
        <w:rPr>
          <w:rFonts w:ascii="Times New Roman" w:hAnsi="Times New Roman" w:cs="Times New Roman"/>
          <w:noProof/>
        </w:rPr>
      </w:pPr>
    </w:p>
    <w:p w14:paraId="6526CA88" w14:textId="2903F4EA"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110 p</w:t>
      </w:r>
      <w:r w:rsidR="00665016" w:rsidRPr="00051667">
        <w:rPr>
          <w:rFonts w:ascii="Times New Roman" w:hAnsi="Times New Roman" w:cs="Times New Roman"/>
          <w:noProof/>
        </w:rPr>
        <w:t>ë</w:t>
      </w:r>
      <w:r w:rsidRPr="00051667">
        <w:rPr>
          <w:rFonts w:ascii="Times New Roman" w:hAnsi="Times New Roman" w:cs="Times New Roman"/>
          <w:noProof/>
        </w:rPr>
        <w:t>rcakton detyrimin</w:t>
      </w:r>
      <w:r w:rsidR="0090713E" w:rsidRPr="00051667">
        <w:rPr>
          <w:rFonts w:ascii="Times New Roman" w:hAnsi="Times New Roman" w:cs="Times New Roman"/>
          <w:noProof/>
        </w:rPr>
        <w:t xml:space="preserve"> </w:t>
      </w:r>
      <w:r w:rsidRPr="00051667">
        <w:rPr>
          <w:rFonts w:ascii="Times New Roman" w:hAnsi="Times New Roman" w:cs="Times New Roman"/>
          <w:noProof/>
        </w:rPr>
        <w:t>e  AMF të mbajë një regjistër publik të subjekteve që ofrojnë shërbime të kripto-aseteve pa autorizim dhe ta përditësojë me shkeljet e konstatuara.</w:t>
      </w:r>
    </w:p>
    <w:p w14:paraId="49B7BE15" w14:textId="77777777" w:rsidR="00FB52CF" w:rsidRDefault="00FB52CF" w:rsidP="00051667">
      <w:pPr>
        <w:spacing w:after="0" w:line="276" w:lineRule="auto"/>
        <w:jc w:val="both"/>
        <w:rPr>
          <w:rFonts w:ascii="Times New Roman" w:hAnsi="Times New Roman" w:cs="Times New Roman"/>
          <w:noProof/>
        </w:rPr>
      </w:pPr>
    </w:p>
    <w:p w14:paraId="1C349F59" w14:textId="02BA8CC9"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111 përcakton se autoritetet mund të vendosin gjoba dhe masa administrative për shkeljet kryesore, duke përfshirë, urdhra pezullimi, gjoba n</w:t>
      </w:r>
      <w:r w:rsidR="00665016" w:rsidRPr="00051667">
        <w:rPr>
          <w:rFonts w:ascii="Times New Roman" w:hAnsi="Times New Roman" w:cs="Times New Roman"/>
          <w:noProof/>
        </w:rPr>
        <w:t>ë</w:t>
      </w:r>
      <w:r w:rsidRPr="00051667">
        <w:rPr>
          <w:rFonts w:ascii="Times New Roman" w:hAnsi="Times New Roman" w:cs="Times New Roman"/>
          <w:noProof/>
        </w:rPr>
        <w:t xml:space="preserve"> raport me fitimet ose xhiron, ndalime të përkohshme të funksioneve drejtuese, konfiskime, revokim autorizimi, ndalim tregtimi dhe tavane maksimale gjobash për individë dhe persona juridikë.</w:t>
      </w:r>
    </w:p>
    <w:p w14:paraId="2076A592" w14:textId="77777777" w:rsidR="00FB52CF" w:rsidRDefault="00FB52CF" w:rsidP="00051667">
      <w:pPr>
        <w:spacing w:after="0" w:line="276" w:lineRule="auto"/>
        <w:jc w:val="both"/>
        <w:rPr>
          <w:rFonts w:ascii="Times New Roman" w:hAnsi="Times New Roman" w:cs="Times New Roman"/>
          <w:noProof/>
        </w:rPr>
      </w:pPr>
    </w:p>
    <w:p w14:paraId="29D1C7F0" w14:textId="2B596B50"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112 kërkon që, në caktimin e sanksioneve, të merren parasysh rrethana te tilla si rëndësia, kohëzgjatja,fuqia financiare, fitimet, humbjet ndaj palëve, bashkëpunimi, përsëritja dhe masat parandaluese etj.</w:t>
      </w:r>
    </w:p>
    <w:p w14:paraId="505A180C" w14:textId="77777777" w:rsidR="00FB52CF" w:rsidRDefault="00FB52CF" w:rsidP="00051667">
      <w:pPr>
        <w:spacing w:after="0" w:line="276" w:lineRule="auto"/>
        <w:jc w:val="both"/>
        <w:rPr>
          <w:rFonts w:ascii="Times New Roman" w:hAnsi="Times New Roman" w:cs="Times New Roman"/>
          <w:noProof/>
        </w:rPr>
      </w:pPr>
    </w:p>
    <w:p w14:paraId="6FF01B46" w14:textId="0FBC92D8"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113 garanton të drejtën e apelimit gjyqësor për vendimet ose mosvendimet brenda afateve dhe lejon veprime në interes të konsumatorëve nga organe publike, organizata konsumatorësh dhe organizata profesionale.</w:t>
      </w:r>
    </w:p>
    <w:p w14:paraId="4C37B236" w14:textId="77777777" w:rsidR="00FB52CF" w:rsidRDefault="00FB52CF" w:rsidP="00051667">
      <w:pPr>
        <w:spacing w:after="0" w:line="276" w:lineRule="auto"/>
        <w:jc w:val="both"/>
        <w:rPr>
          <w:rFonts w:ascii="Times New Roman" w:hAnsi="Times New Roman" w:cs="Times New Roman"/>
          <w:noProof/>
        </w:rPr>
      </w:pPr>
    </w:p>
    <w:p w14:paraId="69534B82" w14:textId="304E7051"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114 detyron publikimin pa vonesë të vendimeve sanksionuese me të dhëna identifikuese, me mundësi shtyrjeje ose anonimizimi n</w:t>
      </w:r>
      <w:r w:rsidR="00665016" w:rsidRPr="00051667">
        <w:rPr>
          <w:rFonts w:ascii="Times New Roman" w:hAnsi="Times New Roman" w:cs="Times New Roman"/>
          <w:noProof/>
        </w:rPr>
        <w:t>ë</w:t>
      </w:r>
      <w:r w:rsidRPr="00051667">
        <w:rPr>
          <w:rFonts w:ascii="Times New Roman" w:hAnsi="Times New Roman" w:cs="Times New Roman"/>
          <w:noProof/>
        </w:rPr>
        <w:t xml:space="preserve"> rastet kur konsiderohet e arsyeshme.</w:t>
      </w:r>
    </w:p>
    <w:p w14:paraId="4F92081F" w14:textId="77777777" w:rsidR="00FB52CF" w:rsidRDefault="00FB52CF" w:rsidP="00051667">
      <w:pPr>
        <w:spacing w:after="0" w:line="276" w:lineRule="auto"/>
        <w:jc w:val="both"/>
        <w:rPr>
          <w:rFonts w:ascii="Times New Roman" w:hAnsi="Times New Roman" w:cs="Times New Roman"/>
          <w:noProof/>
        </w:rPr>
      </w:pPr>
    </w:p>
    <w:p w14:paraId="3B849677" w14:textId="22D40703"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115 është i paaplikueshëm deri në hyrjen në BE. Detyrimet e raportimit te</w:t>
      </w:r>
      <w:r w:rsidR="0087685E">
        <w:rPr>
          <w:rFonts w:ascii="Times New Roman" w:hAnsi="Times New Roman" w:cs="Times New Roman"/>
          <w:noProof/>
        </w:rPr>
        <w:t>k</w:t>
      </w:r>
      <w:r w:rsidRPr="00051667">
        <w:rPr>
          <w:rFonts w:ascii="Times New Roman" w:hAnsi="Times New Roman" w:cs="Times New Roman"/>
          <w:noProof/>
        </w:rPr>
        <w:t xml:space="preserve"> </w:t>
      </w:r>
      <w:r w:rsidR="0087685E">
        <w:rPr>
          <w:rFonts w:ascii="Times New Roman" w:hAnsi="Times New Roman" w:cs="Times New Roman"/>
          <w:noProof/>
        </w:rPr>
        <w:t>ESMA</w:t>
      </w:r>
      <w:r w:rsidRPr="00051667">
        <w:rPr>
          <w:rFonts w:ascii="Times New Roman" w:hAnsi="Times New Roman" w:cs="Times New Roman"/>
          <w:noProof/>
        </w:rPr>
        <w:t xml:space="preserve"> dhe </w:t>
      </w:r>
      <w:r w:rsidR="0087685E">
        <w:rPr>
          <w:rFonts w:ascii="Times New Roman" w:hAnsi="Times New Roman" w:cs="Times New Roman"/>
          <w:noProof/>
        </w:rPr>
        <w:t>EBA</w:t>
      </w:r>
      <w:r w:rsidRPr="00051667">
        <w:rPr>
          <w:rFonts w:ascii="Times New Roman" w:hAnsi="Times New Roman" w:cs="Times New Roman"/>
          <w:noProof/>
        </w:rPr>
        <w:t xml:space="preserve"> si dhe baza qendrore e sanksioneve do të zbatohen pas aderimit.</w:t>
      </w:r>
    </w:p>
    <w:p w14:paraId="6B5B114E" w14:textId="77777777" w:rsidR="00FB52CF" w:rsidRDefault="00FB52CF" w:rsidP="00051667">
      <w:pPr>
        <w:spacing w:after="0" w:line="276" w:lineRule="auto"/>
        <w:jc w:val="both"/>
        <w:rPr>
          <w:rFonts w:ascii="Times New Roman" w:hAnsi="Times New Roman" w:cs="Times New Roman"/>
          <w:noProof/>
        </w:rPr>
      </w:pPr>
    </w:p>
    <w:p w14:paraId="688D1DB5" w14:textId="6795729E" w:rsidR="006B1FDD" w:rsidRPr="00051667" w:rsidRDefault="006B1FDD"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Neni 116 përcakton se raportimi i shkeljeve dhe mbrojtja e sinjalizuesve zbatohen sipas legjislacionit për mbrojtjen e sinjalizuesve.</w:t>
      </w:r>
    </w:p>
    <w:p w14:paraId="397F66BF" w14:textId="77777777" w:rsidR="00FB52CF" w:rsidRDefault="00FB52CF" w:rsidP="00051667">
      <w:pPr>
        <w:spacing w:after="0" w:line="276" w:lineRule="auto"/>
        <w:jc w:val="both"/>
        <w:rPr>
          <w:rFonts w:ascii="Times New Roman" w:hAnsi="Times New Roman" w:cs="Times New Roman"/>
          <w:noProof/>
        </w:rPr>
      </w:pPr>
    </w:p>
    <w:p w14:paraId="08B997BA" w14:textId="2705883E" w:rsidR="006B1FDD" w:rsidRPr="00051667" w:rsidRDefault="00335E96" w:rsidP="00051667">
      <w:pPr>
        <w:spacing w:after="0" w:line="276" w:lineRule="auto"/>
        <w:jc w:val="both"/>
        <w:rPr>
          <w:rFonts w:ascii="Times New Roman" w:hAnsi="Times New Roman" w:cs="Times New Roman"/>
          <w:noProof/>
        </w:rPr>
      </w:pPr>
      <w:r w:rsidRPr="00335E96">
        <w:rPr>
          <w:rFonts w:ascii="Times New Roman" w:hAnsi="Times New Roman" w:cs="Times New Roman"/>
          <w:noProof/>
        </w:rPr>
        <w:t>Nenet 117–120 përcaktojnë rolin e Autoritetit Bankar Evropian mbi emetuesit e rëndësishëm të tokenave të asetit dhe të parasë elektronike, krijimin e komitetit të brendshëm për kripto-asete pranë tij, ngritjen dhe drejtimin nga ky autoritet të kolegjeve mbikëqyrëse ku marrin pjesë edhe ESMA dhe autoritetet kombëtare, si dhe opinionet jo detyruese të këtyre kolegjeve për rishikime, plane, ndryshime dhe masa mbikëqyrëse</w:t>
      </w:r>
      <w:r>
        <w:rPr>
          <w:rFonts w:ascii="Times New Roman" w:hAnsi="Times New Roman" w:cs="Times New Roman"/>
          <w:noProof/>
        </w:rPr>
        <w:t>.</w:t>
      </w:r>
      <w:r w:rsidRPr="00335E96">
        <w:rPr>
          <w:rFonts w:ascii="Times New Roman" w:hAnsi="Times New Roman" w:cs="Times New Roman"/>
          <w:noProof/>
        </w:rPr>
        <w:t xml:space="preserve"> </w:t>
      </w:r>
      <w:r>
        <w:rPr>
          <w:rFonts w:ascii="Times New Roman" w:hAnsi="Times New Roman" w:cs="Times New Roman"/>
          <w:noProof/>
        </w:rPr>
        <w:t>D</w:t>
      </w:r>
      <w:r w:rsidRPr="00335E96">
        <w:rPr>
          <w:rFonts w:ascii="Times New Roman" w:hAnsi="Times New Roman" w:cs="Times New Roman"/>
          <w:noProof/>
        </w:rPr>
        <w:t>ispozitat</w:t>
      </w:r>
      <w:r>
        <w:rPr>
          <w:rFonts w:ascii="Times New Roman" w:hAnsi="Times New Roman" w:cs="Times New Roman"/>
          <w:noProof/>
        </w:rPr>
        <w:t xml:space="preserve"> e këtij seksioni do të fillojnë zbatimin me anëtarësimin e Shqipërisë në Bashkimin Evropian. </w:t>
      </w:r>
    </w:p>
    <w:p w14:paraId="27963EFB" w14:textId="77777777" w:rsidR="00FB52CF" w:rsidRDefault="00FB52CF" w:rsidP="00051667">
      <w:pPr>
        <w:spacing w:after="0" w:line="276" w:lineRule="auto"/>
        <w:jc w:val="both"/>
        <w:rPr>
          <w:rFonts w:ascii="Times New Roman" w:hAnsi="Times New Roman" w:cs="Times New Roman"/>
          <w:noProof/>
        </w:rPr>
      </w:pPr>
    </w:p>
    <w:p w14:paraId="70044622" w14:textId="0252F0A3"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121 përcakton se kompetencat e Autoritetit Bankar Evropian, ESMA-s dhe Gjykatës së Drejtësisë</w:t>
      </w:r>
      <w:r>
        <w:rPr>
          <w:rFonts w:ascii="Times New Roman" w:hAnsi="Times New Roman" w:cs="Times New Roman"/>
          <w:noProof/>
          <w:lang w:val="en-US"/>
        </w:rPr>
        <w:t xml:space="preserve"> në seksionin 6 të këtij projektligji</w:t>
      </w:r>
      <w:r w:rsidRPr="0096644F">
        <w:rPr>
          <w:rFonts w:ascii="Times New Roman" w:hAnsi="Times New Roman" w:cs="Times New Roman"/>
          <w:noProof/>
          <w:lang w:val="en-US"/>
        </w:rPr>
        <w:t xml:space="preserve"> bëhen të zbatueshme </w:t>
      </w:r>
      <w:r>
        <w:rPr>
          <w:rFonts w:ascii="Times New Roman" w:hAnsi="Times New Roman" w:cs="Times New Roman"/>
          <w:noProof/>
          <w:lang w:val="en-US"/>
        </w:rPr>
        <w:t>vetëm pas</w:t>
      </w:r>
      <w:r w:rsidRPr="0096644F">
        <w:rPr>
          <w:rFonts w:ascii="Times New Roman" w:hAnsi="Times New Roman" w:cs="Times New Roman"/>
          <w:noProof/>
          <w:lang w:val="en-US"/>
        </w:rPr>
        <w:t xml:space="preserve"> aderimin në BE</w:t>
      </w:r>
      <w:r>
        <w:rPr>
          <w:rFonts w:ascii="Times New Roman" w:hAnsi="Times New Roman" w:cs="Times New Roman"/>
          <w:noProof/>
          <w:lang w:val="en-US"/>
        </w:rPr>
        <w:t>. Deri në momentin e anëtarëimit në BE, kompetencat mbikëqyrëse në lidhje me emetuesit e tokenit të aseteve dhe tokenit të parasë elektronike të klasifikuar si me rëndësi të lartë ushtrohen</w:t>
      </w:r>
      <w:r w:rsidRPr="0096644F">
        <w:rPr>
          <w:rFonts w:ascii="Times New Roman" w:hAnsi="Times New Roman" w:cs="Times New Roman"/>
          <w:noProof/>
          <w:lang w:val="en-US"/>
        </w:rPr>
        <w:t xml:space="preserve"> nga Banka e Shqipërisë.</w:t>
      </w:r>
    </w:p>
    <w:p w14:paraId="359B35DD" w14:textId="77777777" w:rsidR="0096644F" w:rsidRDefault="0096644F" w:rsidP="0096644F">
      <w:pPr>
        <w:spacing w:after="0" w:line="276" w:lineRule="auto"/>
        <w:jc w:val="both"/>
        <w:rPr>
          <w:rFonts w:ascii="Times New Roman" w:hAnsi="Times New Roman" w:cs="Times New Roman"/>
          <w:noProof/>
          <w:lang w:val="en-US"/>
        </w:rPr>
      </w:pPr>
    </w:p>
    <w:p w14:paraId="6F036FD9" w14:textId="42E65FE7"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122 vendos rregulla për respektimin e privilegjit ligjor dhe kërkesat për informacion, duke autorizuar Autoritetin Bankar Evropian të kërkojë të dhëna nga emetuesit e rëndësishëm dhe palët e lidhura, me përcaktim të afateve, saktësisë së përgjigjeve dhe të drejtës së apelimit.</w:t>
      </w:r>
    </w:p>
    <w:p w14:paraId="02425874" w14:textId="77777777" w:rsidR="0096644F" w:rsidRDefault="0096644F" w:rsidP="0096644F">
      <w:pPr>
        <w:spacing w:after="0" w:line="276" w:lineRule="auto"/>
        <w:jc w:val="both"/>
        <w:rPr>
          <w:rFonts w:ascii="Times New Roman" w:hAnsi="Times New Roman" w:cs="Times New Roman"/>
          <w:noProof/>
          <w:lang w:val="en-US"/>
        </w:rPr>
      </w:pPr>
    </w:p>
    <w:p w14:paraId="71E6CE71" w14:textId="0F161C52"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123 parashikon kompetencat e përgjithshme të hetimit administrativ të Autoritetit Bankar Evropian, përfshirë shqyrtimin e regjistrave, marrjen e kopjeve, marrjen në pyetje, intervistat, kërkesat për të dhënat e trafikut dhe kushtet kur nevojitet autorizim</w:t>
      </w:r>
      <w:r>
        <w:rPr>
          <w:rFonts w:ascii="Times New Roman" w:hAnsi="Times New Roman" w:cs="Times New Roman"/>
          <w:noProof/>
          <w:lang w:val="en-US"/>
        </w:rPr>
        <w:t xml:space="preserve"> nga</w:t>
      </w:r>
      <w:r w:rsidRPr="0096644F">
        <w:rPr>
          <w:rFonts w:ascii="Times New Roman" w:hAnsi="Times New Roman" w:cs="Times New Roman"/>
          <w:noProof/>
          <w:lang w:val="en-US"/>
        </w:rPr>
        <w:t xml:space="preserve"> gjykat</w:t>
      </w:r>
      <w:r>
        <w:rPr>
          <w:rFonts w:ascii="Times New Roman" w:hAnsi="Times New Roman" w:cs="Times New Roman"/>
          <w:noProof/>
          <w:lang w:val="en-US"/>
        </w:rPr>
        <w:t>at</w:t>
      </w:r>
      <w:r w:rsidRPr="0096644F">
        <w:rPr>
          <w:rFonts w:ascii="Times New Roman" w:hAnsi="Times New Roman" w:cs="Times New Roman"/>
          <w:noProof/>
          <w:lang w:val="en-US"/>
        </w:rPr>
        <w:t>.</w:t>
      </w:r>
    </w:p>
    <w:p w14:paraId="5364ED69" w14:textId="77777777" w:rsidR="0096644F" w:rsidRDefault="0096644F" w:rsidP="0096644F">
      <w:pPr>
        <w:spacing w:after="0" w:line="276" w:lineRule="auto"/>
        <w:jc w:val="both"/>
        <w:rPr>
          <w:rFonts w:ascii="Times New Roman" w:hAnsi="Times New Roman" w:cs="Times New Roman"/>
          <w:noProof/>
          <w:lang w:val="en-US"/>
        </w:rPr>
      </w:pPr>
    </w:p>
    <w:p w14:paraId="3E8AB392" w14:textId="46480141"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124 përcakton inspektimet në vend nga Autoriteti Bankar Evropian në ambientet e emetuesve të rëndësishëm, me hyrje, vulosje të ambienteve dhe regjistrave, njoftime, asistencë nga autoritetet kombëtare dhe, kur kërkohet, autorizim gjykate.</w:t>
      </w:r>
    </w:p>
    <w:p w14:paraId="04B5B688" w14:textId="77777777" w:rsidR="0096644F" w:rsidRDefault="0096644F" w:rsidP="0096644F">
      <w:pPr>
        <w:spacing w:after="0" w:line="276" w:lineRule="auto"/>
        <w:jc w:val="both"/>
        <w:rPr>
          <w:rFonts w:ascii="Times New Roman" w:hAnsi="Times New Roman" w:cs="Times New Roman"/>
          <w:noProof/>
          <w:lang w:val="en-US"/>
        </w:rPr>
      </w:pPr>
    </w:p>
    <w:p w14:paraId="6A17BEE1" w14:textId="61F4BAF8"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125 vendos rregulla për shkëmbimin e informacionit ndërmjet autoriteteve përgjegjëse dhe Autoritetit Bankar Evropian lidhur me emetuesit e rëndësishëm dhe infrastrukturat përkatëse, si dhe rastet kur një kërkesë mund të refuzohet.</w:t>
      </w:r>
    </w:p>
    <w:p w14:paraId="020FA6F8" w14:textId="77777777" w:rsidR="0096644F" w:rsidRDefault="0096644F" w:rsidP="0096644F">
      <w:pPr>
        <w:spacing w:after="0" w:line="276" w:lineRule="auto"/>
        <w:jc w:val="both"/>
        <w:rPr>
          <w:rFonts w:ascii="Times New Roman" w:hAnsi="Times New Roman" w:cs="Times New Roman"/>
          <w:noProof/>
          <w:lang w:val="en-US"/>
        </w:rPr>
      </w:pPr>
    </w:p>
    <w:p w14:paraId="2C02AB96" w14:textId="4A282B3D"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126 parashikon marrëveshje administrative për shkëmbimin e informacionit ndërmjet Autoritetit Bankar Evropian dhe autoriteteve të vendeve të treta, me garanci të barasvlefshme të sekretit profesional dhe respektim të rregullave të mbrojtjes së të dhënave.</w:t>
      </w:r>
    </w:p>
    <w:p w14:paraId="6894D555" w14:textId="77777777" w:rsidR="0096644F" w:rsidRDefault="0096644F" w:rsidP="0096644F">
      <w:pPr>
        <w:spacing w:after="0" w:line="276" w:lineRule="auto"/>
        <w:jc w:val="both"/>
        <w:rPr>
          <w:rFonts w:ascii="Times New Roman" w:hAnsi="Times New Roman" w:cs="Times New Roman"/>
          <w:noProof/>
          <w:lang w:val="en-US"/>
        </w:rPr>
      </w:pPr>
    </w:p>
    <w:p w14:paraId="7D7D57E7" w14:textId="2D852979"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127 përcakton kushtet e zbulimit të informacionit të marrë nga autoritetet e vendeve të treta, duke kërkuar miratim të shprehur të autoritetit që e ka transmetuar dhe duke lejuar përdorimin vetëm për qëllimet e miratuara ose për procedura gjyqësore.</w:t>
      </w:r>
    </w:p>
    <w:p w14:paraId="2C40D813" w14:textId="77777777" w:rsidR="0096644F" w:rsidRDefault="0096644F" w:rsidP="0096644F">
      <w:pPr>
        <w:spacing w:after="0" w:line="276" w:lineRule="auto"/>
        <w:jc w:val="both"/>
        <w:rPr>
          <w:rFonts w:ascii="Times New Roman" w:hAnsi="Times New Roman" w:cs="Times New Roman"/>
          <w:noProof/>
          <w:lang w:val="en-US"/>
        </w:rPr>
      </w:pPr>
    </w:p>
    <w:p w14:paraId="4CA244E2" w14:textId="2ED72004"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128 vendos rregulla për bashkëpunimin e Autoritetit Bankar Evropian me autoritete të tjera përgjegjëse, përfshirë</w:t>
      </w:r>
      <w:r>
        <w:rPr>
          <w:rFonts w:ascii="Times New Roman" w:hAnsi="Times New Roman" w:cs="Times New Roman"/>
          <w:noProof/>
          <w:lang w:val="en-US"/>
        </w:rPr>
        <w:t xml:space="preserve"> autoritetet</w:t>
      </w:r>
      <w:r w:rsidRPr="0096644F">
        <w:rPr>
          <w:rFonts w:ascii="Times New Roman" w:hAnsi="Times New Roman" w:cs="Times New Roman"/>
          <w:noProof/>
          <w:lang w:val="en-US"/>
        </w:rPr>
        <w:t xml:space="preserve"> tatimore dhe </w:t>
      </w:r>
      <w:r>
        <w:rPr>
          <w:rFonts w:ascii="Times New Roman" w:hAnsi="Times New Roman" w:cs="Times New Roman"/>
          <w:noProof/>
          <w:lang w:val="en-US"/>
        </w:rPr>
        <w:t>autoritetet e</w:t>
      </w:r>
      <w:r w:rsidRPr="0096644F">
        <w:rPr>
          <w:rFonts w:ascii="Times New Roman" w:hAnsi="Times New Roman" w:cs="Times New Roman"/>
          <w:noProof/>
          <w:lang w:val="en-US"/>
        </w:rPr>
        <w:t xml:space="preserve"> vendeve të treta,</w:t>
      </w:r>
      <w:r>
        <w:rPr>
          <w:rFonts w:ascii="Times New Roman" w:hAnsi="Times New Roman" w:cs="Times New Roman"/>
          <w:noProof/>
          <w:lang w:val="en-US"/>
        </w:rPr>
        <w:t xml:space="preserve"> në rastet</w:t>
      </w:r>
      <w:r w:rsidRPr="0096644F">
        <w:rPr>
          <w:rFonts w:ascii="Times New Roman" w:hAnsi="Times New Roman" w:cs="Times New Roman"/>
          <w:noProof/>
          <w:lang w:val="en-US"/>
        </w:rPr>
        <w:t xml:space="preserve"> kur emetuesit e rëndësishëm zhvillojnë veprimtari jashtë fushës së këtij ligji.</w:t>
      </w:r>
    </w:p>
    <w:p w14:paraId="083977A2" w14:textId="77777777" w:rsid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129 parashikon detyrimin për sekret profesional për Autoritetin Bankar Evropian, personelin dhe ekspertët e kontraktuar, duke mbuluar çdo informacion të marrë gjatë ushtrimit të detyrave të deleguara</w:t>
      </w:r>
    </w:p>
    <w:p w14:paraId="02A49937" w14:textId="77777777" w:rsidR="0096644F" w:rsidRDefault="0096644F" w:rsidP="0096644F">
      <w:pPr>
        <w:spacing w:after="0" w:line="276" w:lineRule="auto"/>
        <w:jc w:val="both"/>
        <w:rPr>
          <w:rFonts w:ascii="Times New Roman" w:hAnsi="Times New Roman" w:cs="Times New Roman"/>
          <w:noProof/>
          <w:lang w:val="en-US"/>
        </w:rPr>
      </w:pPr>
    </w:p>
    <w:p w14:paraId="4059EE7E" w14:textId="77777777"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130 vendos masat mbikëqyrëse që Autoriteti Bankar Evropian mund të marrë ndaj emetuesve të rëndësishëm të tokenave të asetit dhe të parasë elektronike, nga urdhri për ndërprerjen e shkeljes dhe kërkesat për informacion shtesë e ndryshime në materialet promovuese, deri te pezullimi ose ndalimi i ofertës dhe tregtimit, detyrimi për kufizime të emetimit, largimi i drejtuesve dhe tërheqja e autorizimit, duke vlerësuar proporcionalisht natyrën dhe seriozitetin e shkeljes dhe duke informuar paraprakisht autoritetet përkatëse kur është e nevojshme.</w:t>
      </w:r>
    </w:p>
    <w:p w14:paraId="6B1F61B6" w14:textId="77777777" w:rsidR="0096644F" w:rsidRDefault="0096644F" w:rsidP="0096644F">
      <w:pPr>
        <w:spacing w:after="0" w:line="276" w:lineRule="auto"/>
        <w:jc w:val="both"/>
        <w:rPr>
          <w:rFonts w:ascii="Times New Roman" w:hAnsi="Times New Roman" w:cs="Times New Roman"/>
          <w:noProof/>
          <w:lang w:val="en-US"/>
        </w:rPr>
      </w:pPr>
    </w:p>
    <w:p w14:paraId="17421F44" w14:textId="77777777" w:rsid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 xml:space="preserve">Neni 131 parashikon gjobat administrative për shkeljet e emetuesve të rëndësishëm me tavan deri në 12.5 për qind të xhiros për tokenat e asetit dhe deri në 10 për qind për tokenat e parasë elektronike ose deri në dyfishin e përfitimit a humbjes së shmangur, duke u bazuar në kritere të qarta si kohëzgjatja, qëllimi, ndikimi te mbajtësit dhe bashkëpunimi. </w:t>
      </w:r>
    </w:p>
    <w:p w14:paraId="109ED822" w14:textId="77777777" w:rsidR="0096644F" w:rsidRDefault="0096644F" w:rsidP="0096644F">
      <w:pPr>
        <w:spacing w:after="0" w:line="276" w:lineRule="auto"/>
        <w:jc w:val="both"/>
        <w:rPr>
          <w:rFonts w:ascii="Times New Roman" w:hAnsi="Times New Roman" w:cs="Times New Roman"/>
          <w:noProof/>
          <w:lang w:val="en-US"/>
        </w:rPr>
      </w:pPr>
    </w:p>
    <w:p w14:paraId="0D59E02F" w14:textId="77777777" w:rsid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 xml:space="preserve">Neni 132 përcakton pagesat e dënimeve periodike të përditshme për detyrimin e ekzekutimit të urdhrave dhe dorëzimin e informacionit me nivel 3 për qind të xhiros mesatare ditore për personat juridikë dhe 2 për qind të të ardhurave mesatare ditore për individët për një periudhë deri në gjashtë muaj. </w:t>
      </w:r>
    </w:p>
    <w:p w14:paraId="577561BE" w14:textId="77777777" w:rsidR="0096644F" w:rsidRDefault="0096644F" w:rsidP="0096644F">
      <w:pPr>
        <w:spacing w:after="0" w:line="276" w:lineRule="auto"/>
        <w:jc w:val="both"/>
        <w:rPr>
          <w:rFonts w:ascii="Times New Roman" w:hAnsi="Times New Roman" w:cs="Times New Roman"/>
          <w:noProof/>
          <w:lang w:val="en-US"/>
        </w:rPr>
      </w:pPr>
    </w:p>
    <w:p w14:paraId="551F228D" w14:textId="4BFA2BF6"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133 rregullon shpalljen publike, natyrën administrative, zbatueshmërinë civile dhe destinacionin buxhetor të gjobave dhe pagesave periodike si edhe detyrimin e arsyetimit kur nuk vendosen masa financiare.</w:t>
      </w:r>
    </w:p>
    <w:p w14:paraId="7AE1F09E" w14:textId="77777777" w:rsidR="0096644F" w:rsidRDefault="0096644F" w:rsidP="0096644F">
      <w:pPr>
        <w:spacing w:after="0" w:line="276" w:lineRule="auto"/>
        <w:jc w:val="both"/>
        <w:rPr>
          <w:rFonts w:ascii="Times New Roman" w:hAnsi="Times New Roman" w:cs="Times New Roman"/>
          <w:noProof/>
          <w:lang w:val="en-US"/>
        </w:rPr>
      </w:pPr>
    </w:p>
    <w:p w14:paraId="528110A6" w14:textId="7B18A0E8" w:rsid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 xml:space="preserve">Neni 134 vendos rregulla procedurale për hetimin dhe vendimmarrjen, përfshirë emërimin e një oficeri të pavarur hetimi, të drejtat e palëve për t’u dëgjuar dhe për akses në dosje si dhe bazimin e vendimit vetëm mbi fakte për të cilat palët kanë pasur mundësi të komentojnë. </w:t>
      </w:r>
    </w:p>
    <w:p w14:paraId="12B091CC" w14:textId="77777777" w:rsidR="0096644F" w:rsidRDefault="0096644F" w:rsidP="0096644F">
      <w:pPr>
        <w:spacing w:after="0" w:line="276" w:lineRule="auto"/>
        <w:jc w:val="both"/>
        <w:rPr>
          <w:rFonts w:ascii="Times New Roman" w:hAnsi="Times New Roman" w:cs="Times New Roman"/>
          <w:noProof/>
          <w:lang w:val="en-US"/>
        </w:rPr>
      </w:pPr>
    </w:p>
    <w:p w14:paraId="267D5FB4" w14:textId="3C6891DD" w:rsidR="0096644F" w:rsidRP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135 përcakton të drejtën e dëgjimit përpara marrjes së masave ose sanksioneve dhe lejon vendime të përkohshme vetëm kur kërkohet veprim i menjëhershëm për të mbrojtur stabilitetin financiar ose mbajtësit, me respektim të plotë të të drejtave të mbrojtjes.</w:t>
      </w:r>
    </w:p>
    <w:p w14:paraId="1C581B36" w14:textId="77777777" w:rsidR="0096644F" w:rsidRDefault="0096644F" w:rsidP="0096644F">
      <w:pPr>
        <w:spacing w:after="0" w:line="276" w:lineRule="auto"/>
        <w:jc w:val="both"/>
        <w:rPr>
          <w:rFonts w:ascii="Times New Roman" w:hAnsi="Times New Roman" w:cs="Times New Roman"/>
          <w:noProof/>
          <w:lang w:val="en-US"/>
        </w:rPr>
      </w:pPr>
    </w:p>
    <w:p w14:paraId="43F66077" w14:textId="77777777" w:rsid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 xml:space="preserve">Neni 136 parashikon rishikimin me juridiksion të pakufizuar nga Gjykata e Drejtësisë për vendimet mbi gjobat dhe pagesat periodike duke përfshirë uljen, rritjen ose anulimin e tyre. </w:t>
      </w:r>
    </w:p>
    <w:p w14:paraId="6688BFCD" w14:textId="77777777" w:rsidR="0096644F" w:rsidRDefault="0096644F" w:rsidP="0096644F">
      <w:pPr>
        <w:spacing w:after="0" w:line="276" w:lineRule="auto"/>
        <w:jc w:val="both"/>
        <w:rPr>
          <w:rFonts w:ascii="Times New Roman" w:hAnsi="Times New Roman" w:cs="Times New Roman"/>
          <w:noProof/>
          <w:lang w:val="en-US"/>
        </w:rPr>
      </w:pPr>
    </w:p>
    <w:p w14:paraId="6C1BCBA6" w14:textId="77777777" w:rsidR="0096644F"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 xml:space="preserve">Neni 137 përcakton tarifat mbikëqyrëse për emetuesit e rëndësishëm të lidhura proporcionalisht me madhësinë e rezervës ose të emetimit dhe të destinuara të mbulojnë kostot e mbikëqyrjes dhe delegimeve. </w:t>
      </w:r>
    </w:p>
    <w:p w14:paraId="4E32F304" w14:textId="77777777" w:rsidR="00BF3558" w:rsidRDefault="0096644F" w:rsidP="0096644F">
      <w:pPr>
        <w:spacing w:after="0" w:line="276" w:lineRule="auto"/>
        <w:jc w:val="both"/>
        <w:rPr>
          <w:rFonts w:ascii="Times New Roman" w:hAnsi="Times New Roman" w:cs="Times New Roman"/>
          <w:noProof/>
          <w:lang w:val="en-US"/>
        </w:rPr>
      </w:pPr>
      <w:r w:rsidRPr="0096644F">
        <w:rPr>
          <w:rFonts w:ascii="Times New Roman" w:hAnsi="Times New Roman" w:cs="Times New Roman"/>
          <w:noProof/>
          <w:lang w:val="en-US"/>
        </w:rPr>
        <w:t>Neni 138 parashikon mundësinë e delegimit të detyrave mbikëqyrëse te autoritetet përgjegjëse me marrëveshje paraprake për fushën, afatet dhe rrjedhën e informacionit. Këto dispozita zbatohen nga Autoriteti Bankar Evropian vetëm pas anëtarësimit në Bashkimin Evropian, ndërsa deri në atë moment kompetencat përkatëse ushtrohen nga Banka e Shqipërisë sipas rregullit kalimtar.</w:t>
      </w:r>
    </w:p>
    <w:p w14:paraId="40322CDF" w14:textId="77777777" w:rsidR="00BF3558" w:rsidRDefault="00BF3558" w:rsidP="0096644F">
      <w:pPr>
        <w:spacing w:after="0" w:line="276" w:lineRule="auto"/>
        <w:jc w:val="both"/>
        <w:rPr>
          <w:rFonts w:ascii="Times New Roman" w:hAnsi="Times New Roman" w:cs="Times New Roman"/>
          <w:noProof/>
          <w:lang w:val="en-US"/>
        </w:rPr>
      </w:pPr>
    </w:p>
    <w:p w14:paraId="4EC902F0" w14:textId="77777777" w:rsidR="00BF3558" w:rsidRDefault="00BF3558" w:rsidP="0096644F">
      <w:pPr>
        <w:spacing w:after="0" w:line="276" w:lineRule="auto"/>
        <w:jc w:val="both"/>
        <w:rPr>
          <w:rFonts w:ascii="Times New Roman" w:hAnsi="Times New Roman" w:cs="Times New Roman"/>
          <w:noProof/>
        </w:rPr>
      </w:pPr>
      <w:r w:rsidRPr="00BF3558">
        <w:rPr>
          <w:rFonts w:ascii="Times New Roman" w:hAnsi="Times New Roman" w:cs="Times New Roman"/>
          <w:noProof/>
        </w:rPr>
        <w:t>Neni 139 përcakton krijimin dhe administrimin nga AMF të një sandbox-i rregullator trevjeçar për testimin e kontrolluar të inovacionit në tregjet e kripto-aseteve, me rregullat e hollësishme të miratuara me rregullore të AMF.</w:t>
      </w:r>
    </w:p>
    <w:p w14:paraId="79AF4DA3" w14:textId="77777777" w:rsidR="00BF3558" w:rsidRDefault="00BF3558" w:rsidP="0096644F">
      <w:pPr>
        <w:spacing w:after="0" w:line="276" w:lineRule="auto"/>
        <w:jc w:val="both"/>
        <w:rPr>
          <w:rFonts w:ascii="Times New Roman" w:hAnsi="Times New Roman" w:cs="Times New Roman"/>
          <w:noProof/>
        </w:rPr>
      </w:pPr>
    </w:p>
    <w:p w14:paraId="6D40A122" w14:textId="77777777" w:rsidR="00BF3558" w:rsidRDefault="00BF3558" w:rsidP="0096644F">
      <w:pPr>
        <w:spacing w:after="0" w:line="276" w:lineRule="auto"/>
        <w:jc w:val="both"/>
        <w:rPr>
          <w:rFonts w:ascii="Times New Roman" w:hAnsi="Times New Roman" w:cs="Times New Roman"/>
          <w:noProof/>
        </w:rPr>
      </w:pPr>
      <w:r w:rsidRPr="00BF3558">
        <w:rPr>
          <w:rFonts w:ascii="Times New Roman" w:hAnsi="Times New Roman" w:cs="Times New Roman"/>
          <w:noProof/>
        </w:rPr>
        <w:t>Neni 140 vendos rregulla për miratimin brenda një viti nga hyrja në fuqi e ligjit të akteve nënligjore përkatëse nga Banka e Shqipërisë dhe AMF sipas fushave të përgjegjësisë.</w:t>
      </w:r>
      <w:r w:rsidRPr="00BF3558">
        <w:rPr>
          <w:rFonts w:ascii="Times New Roman" w:hAnsi="Times New Roman" w:cs="Times New Roman"/>
          <w:noProof/>
        </w:rPr>
        <w:br/>
      </w:r>
    </w:p>
    <w:p w14:paraId="3BE3714D" w14:textId="77777777" w:rsidR="00BF3558" w:rsidRDefault="00BF3558" w:rsidP="0096644F">
      <w:pPr>
        <w:spacing w:after="0" w:line="276" w:lineRule="auto"/>
        <w:jc w:val="both"/>
        <w:rPr>
          <w:rFonts w:ascii="Times New Roman" w:hAnsi="Times New Roman" w:cs="Times New Roman"/>
          <w:noProof/>
        </w:rPr>
      </w:pPr>
      <w:r w:rsidRPr="00BF3558">
        <w:rPr>
          <w:rFonts w:ascii="Times New Roman" w:hAnsi="Times New Roman" w:cs="Times New Roman"/>
          <w:noProof/>
        </w:rPr>
        <w:t>Neni 141 parashikon shfuqizimin e ligjit nr. 66/2020 “Për tregjet financiare të bazuara në teknologjinë e regjistrave të shpërndarë” dhe të akteve nënligjore në zbatim të tij.</w:t>
      </w:r>
      <w:r w:rsidRPr="00BF3558">
        <w:rPr>
          <w:rFonts w:ascii="Times New Roman" w:hAnsi="Times New Roman" w:cs="Times New Roman"/>
          <w:noProof/>
        </w:rPr>
        <w:br/>
      </w:r>
    </w:p>
    <w:p w14:paraId="23ECAED0" w14:textId="4D147744" w:rsidR="00BF3558" w:rsidRPr="0096644F" w:rsidRDefault="00BF3558" w:rsidP="0096644F">
      <w:pPr>
        <w:spacing w:after="0" w:line="276" w:lineRule="auto"/>
        <w:jc w:val="both"/>
        <w:rPr>
          <w:rFonts w:ascii="Times New Roman" w:hAnsi="Times New Roman" w:cs="Times New Roman"/>
          <w:noProof/>
          <w:lang w:val="en-US"/>
        </w:rPr>
      </w:pPr>
      <w:r w:rsidRPr="00BF3558">
        <w:rPr>
          <w:rFonts w:ascii="Times New Roman" w:hAnsi="Times New Roman" w:cs="Times New Roman"/>
          <w:noProof/>
        </w:rPr>
        <w:t xml:space="preserve">Neni 142 përcakton hyrjen në fuqi të ligjit më 1 </w:t>
      </w:r>
      <w:r>
        <w:rPr>
          <w:rFonts w:ascii="Times New Roman" w:hAnsi="Times New Roman" w:cs="Times New Roman"/>
          <w:noProof/>
        </w:rPr>
        <w:t>M</w:t>
      </w:r>
      <w:r w:rsidRPr="00BF3558">
        <w:rPr>
          <w:rFonts w:ascii="Times New Roman" w:hAnsi="Times New Roman" w:cs="Times New Roman"/>
          <w:noProof/>
        </w:rPr>
        <w:t>ars 2025</w:t>
      </w:r>
    </w:p>
    <w:p w14:paraId="299F05C0" w14:textId="77777777" w:rsidR="006B1FDD" w:rsidRPr="00051667" w:rsidRDefault="006B1FDD" w:rsidP="00051667">
      <w:pPr>
        <w:spacing w:after="0" w:line="276" w:lineRule="auto"/>
        <w:ind w:left="450"/>
        <w:jc w:val="both"/>
        <w:rPr>
          <w:rFonts w:ascii="Times New Roman" w:hAnsi="Times New Roman" w:cs="Times New Roman"/>
          <w:b/>
          <w:bCs/>
          <w:noProof/>
        </w:rPr>
      </w:pPr>
    </w:p>
    <w:p w14:paraId="615825F4" w14:textId="7550D1D9" w:rsidR="004E67CA" w:rsidRPr="00051667" w:rsidRDefault="00AC5C5B" w:rsidP="00051667">
      <w:pPr>
        <w:pStyle w:val="ListParagraph"/>
        <w:numPr>
          <w:ilvl w:val="0"/>
          <w:numId w:val="2"/>
        </w:numPr>
        <w:spacing w:after="0" w:line="276" w:lineRule="auto"/>
        <w:jc w:val="both"/>
        <w:rPr>
          <w:rFonts w:ascii="Times New Roman" w:hAnsi="Times New Roman" w:cs="Times New Roman"/>
          <w:noProof/>
        </w:rPr>
      </w:pPr>
      <w:r w:rsidRPr="00051667">
        <w:rPr>
          <w:rFonts w:ascii="Times New Roman" w:hAnsi="Times New Roman" w:cs="Times New Roman"/>
          <w:b/>
          <w:bCs/>
          <w:noProof/>
        </w:rPr>
        <w:t>INSTITUCIONET DHE ORGANET QË NGARKOHEN PËR ZBATIMIN E PROJEKTAKTIT</w:t>
      </w:r>
      <w:r w:rsidRPr="00051667">
        <w:rPr>
          <w:rFonts w:ascii="Times New Roman" w:hAnsi="Times New Roman" w:cs="Times New Roman"/>
          <w:noProof/>
        </w:rPr>
        <w:t xml:space="preserve"> </w:t>
      </w:r>
    </w:p>
    <w:p w14:paraId="4DFB3B30" w14:textId="77777777" w:rsidR="00457939" w:rsidRPr="00051667" w:rsidRDefault="00457939" w:rsidP="00051667">
      <w:pPr>
        <w:pStyle w:val="ListParagraph"/>
        <w:spacing w:after="0" w:line="276" w:lineRule="auto"/>
        <w:ind w:left="1080"/>
        <w:jc w:val="both"/>
        <w:rPr>
          <w:rFonts w:ascii="Times New Roman" w:hAnsi="Times New Roman" w:cs="Times New Roman"/>
          <w:noProof/>
        </w:rPr>
      </w:pPr>
    </w:p>
    <w:p w14:paraId="4C06D868" w14:textId="3488441E" w:rsidR="00AC5C5B" w:rsidRPr="00051667" w:rsidRDefault="004E67CA" w:rsidP="00051667">
      <w:pPr>
        <w:spacing w:after="0" w:line="276" w:lineRule="auto"/>
        <w:jc w:val="both"/>
        <w:rPr>
          <w:rFonts w:ascii="Times New Roman" w:hAnsi="Times New Roman" w:cs="Times New Roman"/>
          <w:noProof/>
        </w:rPr>
      </w:pPr>
      <w:r w:rsidRPr="00051667">
        <w:rPr>
          <w:rFonts w:ascii="Times New Roman" w:hAnsi="Times New Roman" w:cs="Times New Roman"/>
          <w:noProof/>
        </w:rPr>
        <w:t>Institucionet q</w:t>
      </w:r>
      <w:r w:rsidR="00457939" w:rsidRPr="00051667">
        <w:rPr>
          <w:rFonts w:ascii="Times New Roman" w:hAnsi="Times New Roman" w:cs="Times New Roman"/>
          <w:noProof/>
        </w:rPr>
        <w:t>ë</w:t>
      </w:r>
      <w:r w:rsidRPr="00051667">
        <w:rPr>
          <w:rFonts w:ascii="Times New Roman" w:hAnsi="Times New Roman" w:cs="Times New Roman"/>
          <w:noProof/>
        </w:rPr>
        <w:t xml:space="preserve"> ngarkohen me zbatimin e k</w:t>
      </w:r>
      <w:r w:rsidR="00457939" w:rsidRPr="00051667">
        <w:rPr>
          <w:rFonts w:ascii="Times New Roman" w:hAnsi="Times New Roman" w:cs="Times New Roman"/>
          <w:noProof/>
        </w:rPr>
        <w:t>ë</w:t>
      </w:r>
      <w:r w:rsidRPr="00051667">
        <w:rPr>
          <w:rFonts w:ascii="Times New Roman" w:hAnsi="Times New Roman" w:cs="Times New Roman"/>
          <w:noProof/>
        </w:rPr>
        <w:t>tij ligji sipas fush</w:t>
      </w:r>
      <w:r w:rsidR="00457939" w:rsidRPr="00051667">
        <w:rPr>
          <w:rFonts w:ascii="Times New Roman" w:hAnsi="Times New Roman" w:cs="Times New Roman"/>
          <w:noProof/>
        </w:rPr>
        <w:t>ë</w:t>
      </w:r>
      <w:r w:rsidRPr="00051667">
        <w:rPr>
          <w:rFonts w:ascii="Times New Roman" w:hAnsi="Times New Roman" w:cs="Times New Roman"/>
          <w:noProof/>
        </w:rPr>
        <w:t>s s</w:t>
      </w:r>
      <w:r w:rsidR="00457939" w:rsidRPr="00051667">
        <w:rPr>
          <w:rFonts w:ascii="Times New Roman" w:hAnsi="Times New Roman" w:cs="Times New Roman"/>
          <w:noProof/>
        </w:rPr>
        <w:t>ë</w:t>
      </w:r>
      <w:r w:rsidRPr="00051667">
        <w:rPr>
          <w:rFonts w:ascii="Times New Roman" w:hAnsi="Times New Roman" w:cs="Times New Roman"/>
          <w:noProof/>
        </w:rPr>
        <w:t xml:space="preserve"> p</w:t>
      </w:r>
      <w:r w:rsidR="00457939" w:rsidRPr="00051667">
        <w:rPr>
          <w:rFonts w:ascii="Times New Roman" w:hAnsi="Times New Roman" w:cs="Times New Roman"/>
          <w:noProof/>
        </w:rPr>
        <w:t>ë</w:t>
      </w:r>
      <w:r w:rsidRPr="00051667">
        <w:rPr>
          <w:rFonts w:ascii="Times New Roman" w:hAnsi="Times New Roman" w:cs="Times New Roman"/>
          <w:noProof/>
        </w:rPr>
        <w:t>rgjegj</w:t>
      </w:r>
      <w:r w:rsidR="00457939" w:rsidRPr="00051667">
        <w:rPr>
          <w:rFonts w:ascii="Times New Roman" w:hAnsi="Times New Roman" w:cs="Times New Roman"/>
          <w:noProof/>
        </w:rPr>
        <w:t>ë</w:t>
      </w:r>
      <w:r w:rsidRPr="00051667">
        <w:rPr>
          <w:rFonts w:ascii="Times New Roman" w:hAnsi="Times New Roman" w:cs="Times New Roman"/>
          <w:noProof/>
        </w:rPr>
        <w:t>sis</w:t>
      </w:r>
      <w:r w:rsidR="00457939" w:rsidRPr="00051667">
        <w:rPr>
          <w:rFonts w:ascii="Times New Roman" w:hAnsi="Times New Roman" w:cs="Times New Roman"/>
          <w:noProof/>
        </w:rPr>
        <w:t>ë</w:t>
      </w:r>
      <w:r w:rsidRPr="00051667">
        <w:rPr>
          <w:rFonts w:ascii="Times New Roman" w:hAnsi="Times New Roman" w:cs="Times New Roman"/>
          <w:noProof/>
        </w:rPr>
        <w:t xml:space="preserve"> jan</w:t>
      </w:r>
      <w:r w:rsidR="00457939" w:rsidRPr="00051667">
        <w:rPr>
          <w:rFonts w:ascii="Times New Roman" w:hAnsi="Times New Roman" w:cs="Times New Roman"/>
          <w:noProof/>
        </w:rPr>
        <w:t>ë</w:t>
      </w:r>
      <w:r w:rsidRPr="00051667">
        <w:rPr>
          <w:rFonts w:ascii="Times New Roman" w:hAnsi="Times New Roman" w:cs="Times New Roman"/>
          <w:noProof/>
        </w:rPr>
        <w:t xml:space="preserve"> Autoriteti i Mbik</w:t>
      </w:r>
      <w:r w:rsidR="00457939" w:rsidRPr="00051667">
        <w:rPr>
          <w:rFonts w:ascii="Times New Roman" w:hAnsi="Times New Roman" w:cs="Times New Roman"/>
          <w:noProof/>
        </w:rPr>
        <w:t>ë</w:t>
      </w:r>
      <w:r w:rsidRPr="00051667">
        <w:rPr>
          <w:rFonts w:ascii="Times New Roman" w:hAnsi="Times New Roman" w:cs="Times New Roman"/>
          <w:noProof/>
        </w:rPr>
        <w:t>qyrjes Financiare dhe Banka e Shqip</w:t>
      </w:r>
      <w:r w:rsidR="00457939" w:rsidRPr="00051667">
        <w:rPr>
          <w:rFonts w:ascii="Times New Roman" w:hAnsi="Times New Roman" w:cs="Times New Roman"/>
          <w:noProof/>
        </w:rPr>
        <w:t>ë</w:t>
      </w:r>
      <w:r w:rsidRPr="00051667">
        <w:rPr>
          <w:rFonts w:ascii="Times New Roman" w:hAnsi="Times New Roman" w:cs="Times New Roman"/>
          <w:noProof/>
        </w:rPr>
        <w:t>ris</w:t>
      </w:r>
      <w:r w:rsidR="00457939" w:rsidRPr="00051667">
        <w:rPr>
          <w:rFonts w:ascii="Times New Roman" w:hAnsi="Times New Roman" w:cs="Times New Roman"/>
          <w:noProof/>
        </w:rPr>
        <w:t>ë</w:t>
      </w:r>
      <w:r w:rsidR="00AC5C5B" w:rsidRPr="00051667">
        <w:rPr>
          <w:rFonts w:ascii="Times New Roman" w:hAnsi="Times New Roman" w:cs="Times New Roman"/>
          <w:noProof/>
        </w:rPr>
        <w:t xml:space="preserve">. </w:t>
      </w:r>
    </w:p>
    <w:p w14:paraId="0A77C9EA" w14:textId="77777777" w:rsidR="004E67CA" w:rsidRPr="00051667" w:rsidRDefault="004E67CA" w:rsidP="00051667">
      <w:pPr>
        <w:spacing w:after="0" w:line="276" w:lineRule="auto"/>
        <w:jc w:val="both"/>
        <w:rPr>
          <w:rFonts w:ascii="Times New Roman" w:hAnsi="Times New Roman" w:cs="Times New Roman"/>
          <w:noProof/>
        </w:rPr>
      </w:pPr>
    </w:p>
    <w:p w14:paraId="1368D4D5" w14:textId="12B272EE" w:rsidR="00AC5C5B" w:rsidRPr="00051667" w:rsidRDefault="00AC5C5B" w:rsidP="00FB52CF">
      <w:pPr>
        <w:pStyle w:val="ListParagraph"/>
        <w:numPr>
          <w:ilvl w:val="0"/>
          <w:numId w:val="2"/>
        </w:numPr>
        <w:spacing w:after="0" w:line="276" w:lineRule="auto"/>
        <w:jc w:val="both"/>
        <w:rPr>
          <w:rFonts w:ascii="Times New Roman" w:hAnsi="Times New Roman" w:cs="Times New Roman"/>
          <w:b/>
          <w:bCs/>
          <w:noProof/>
        </w:rPr>
      </w:pPr>
      <w:r w:rsidRPr="00051667">
        <w:rPr>
          <w:rFonts w:ascii="Times New Roman" w:hAnsi="Times New Roman" w:cs="Times New Roman"/>
          <w:b/>
          <w:bCs/>
          <w:noProof/>
        </w:rPr>
        <w:t xml:space="preserve">MINISTRITË, INSTITUCIONET DHE SUBJEKTET E TJERA QË KANË KONTRIBUUAR NË HARTIMIN E PROJEKTAKTIT </w:t>
      </w:r>
    </w:p>
    <w:p w14:paraId="0DBB1498" w14:textId="77777777" w:rsidR="00457939" w:rsidRPr="00051667" w:rsidRDefault="00457939" w:rsidP="00051667">
      <w:pPr>
        <w:pStyle w:val="ListParagraph"/>
        <w:spacing w:after="0" w:line="276" w:lineRule="auto"/>
        <w:ind w:left="1080"/>
        <w:jc w:val="both"/>
        <w:rPr>
          <w:rFonts w:ascii="Times New Roman" w:hAnsi="Times New Roman" w:cs="Times New Roman"/>
          <w:b/>
          <w:bCs/>
          <w:noProof/>
        </w:rPr>
      </w:pPr>
    </w:p>
    <w:p w14:paraId="4939DF30" w14:textId="6DEF782B" w:rsidR="004E67CA" w:rsidRPr="0087685E" w:rsidRDefault="00AC5C5B" w:rsidP="00051667">
      <w:pPr>
        <w:spacing w:after="0" w:line="276" w:lineRule="auto"/>
        <w:jc w:val="both"/>
        <w:rPr>
          <w:rFonts w:ascii="Times New Roman" w:hAnsi="Times New Roman" w:cs="Times New Roman"/>
          <w:noProof/>
          <w:color w:val="000000" w:themeColor="text1"/>
        </w:rPr>
      </w:pPr>
      <w:r w:rsidRPr="0087685E">
        <w:rPr>
          <w:rFonts w:ascii="Times New Roman" w:hAnsi="Times New Roman" w:cs="Times New Roman"/>
          <w:noProof/>
          <w:color w:val="000000" w:themeColor="text1"/>
        </w:rPr>
        <w:t xml:space="preserve">Projektligji është hartuar nga </w:t>
      </w:r>
      <w:r w:rsidR="004E67CA" w:rsidRPr="0087685E">
        <w:rPr>
          <w:rFonts w:ascii="Times New Roman" w:hAnsi="Times New Roman" w:cs="Times New Roman"/>
          <w:noProof/>
          <w:color w:val="000000" w:themeColor="text1"/>
        </w:rPr>
        <w:t>Autoriteti i Mbik</w:t>
      </w:r>
      <w:r w:rsidR="00457939" w:rsidRPr="0087685E">
        <w:rPr>
          <w:rFonts w:ascii="Times New Roman" w:hAnsi="Times New Roman" w:cs="Times New Roman"/>
          <w:noProof/>
          <w:color w:val="000000" w:themeColor="text1"/>
        </w:rPr>
        <w:t>ë</w:t>
      </w:r>
      <w:r w:rsidR="004E67CA" w:rsidRPr="0087685E">
        <w:rPr>
          <w:rFonts w:ascii="Times New Roman" w:hAnsi="Times New Roman" w:cs="Times New Roman"/>
          <w:noProof/>
          <w:color w:val="000000" w:themeColor="text1"/>
        </w:rPr>
        <w:t>qyrjes Financiare</w:t>
      </w:r>
      <w:r w:rsidR="006B1FDD" w:rsidRPr="0087685E">
        <w:rPr>
          <w:rFonts w:ascii="Times New Roman" w:hAnsi="Times New Roman" w:cs="Times New Roman"/>
          <w:noProof/>
          <w:color w:val="000000" w:themeColor="text1"/>
        </w:rPr>
        <w:t xml:space="preserve"> dhe Banka e Shqipërisë</w:t>
      </w:r>
      <w:r w:rsidR="004E67CA" w:rsidRPr="0087685E">
        <w:rPr>
          <w:rFonts w:ascii="Times New Roman" w:hAnsi="Times New Roman" w:cs="Times New Roman"/>
          <w:noProof/>
          <w:color w:val="000000" w:themeColor="text1"/>
        </w:rPr>
        <w:t xml:space="preserve"> me kontributin e</w:t>
      </w:r>
      <w:r w:rsidR="006B1FDD" w:rsidRPr="0087685E">
        <w:rPr>
          <w:rFonts w:ascii="Times New Roman" w:hAnsi="Times New Roman" w:cs="Times New Roman"/>
          <w:noProof/>
          <w:color w:val="000000" w:themeColor="text1"/>
        </w:rPr>
        <w:t xml:space="preserve"> Ministris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Ekonomis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dhe Inovacionit, Ministris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Financave, Agjencis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Inteligjenc</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s Financiare, Agjencis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Komb</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tare p</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r Sigurin</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Kibernetike, Agjencis</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Komb</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tare p</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r Shoq</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rin</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e Informacionit, </w:t>
      </w:r>
      <w:r w:rsidR="004E67CA" w:rsidRPr="0087685E">
        <w:rPr>
          <w:rFonts w:ascii="Times New Roman" w:hAnsi="Times New Roman" w:cs="Times New Roman"/>
          <w:noProof/>
          <w:color w:val="000000" w:themeColor="text1"/>
        </w:rPr>
        <w:t>n</w:t>
      </w:r>
      <w:r w:rsidR="00457939" w:rsidRPr="0087685E">
        <w:rPr>
          <w:rFonts w:ascii="Times New Roman" w:hAnsi="Times New Roman" w:cs="Times New Roman"/>
          <w:noProof/>
          <w:color w:val="000000" w:themeColor="text1"/>
        </w:rPr>
        <w:t>ë</w:t>
      </w:r>
      <w:r w:rsidR="004E67CA" w:rsidRPr="0087685E">
        <w:rPr>
          <w:rFonts w:ascii="Times New Roman" w:hAnsi="Times New Roman" w:cs="Times New Roman"/>
          <w:noProof/>
          <w:color w:val="000000" w:themeColor="text1"/>
        </w:rPr>
        <w:t xml:space="preserve"> zbatim të urdhrit nr. 108, datë 31.07.2025, të Kryeministrit, p</w:t>
      </w:r>
      <w:r w:rsidR="00457939" w:rsidRPr="0087685E">
        <w:rPr>
          <w:rFonts w:ascii="Times New Roman" w:hAnsi="Times New Roman" w:cs="Times New Roman"/>
          <w:noProof/>
          <w:color w:val="000000" w:themeColor="text1"/>
        </w:rPr>
        <w:t>ë</w:t>
      </w:r>
      <w:r w:rsidR="004E67CA" w:rsidRPr="0087685E">
        <w:rPr>
          <w:rFonts w:ascii="Times New Roman" w:hAnsi="Times New Roman" w:cs="Times New Roman"/>
          <w:noProof/>
          <w:color w:val="000000" w:themeColor="text1"/>
        </w:rPr>
        <w:t>r ngritjen e grupit ndërinstitucional t</w:t>
      </w:r>
      <w:r w:rsidR="00457939" w:rsidRPr="0087685E">
        <w:rPr>
          <w:rFonts w:ascii="Times New Roman" w:hAnsi="Times New Roman" w:cs="Times New Roman"/>
          <w:noProof/>
          <w:color w:val="000000" w:themeColor="text1"/>
        </w:rPr>
        <w:t>ë</w:t>
      </w:r>
      <w:r w:rsidR="004E67CA" w:rsidRPr="0087685E">
        <w:rPr>
          <w:rFonts w:ascii="Times New Roman" w:hAnsi="Times New Roman" w:cs="Times New Roman"/>
          <w:noProof/>
          <w:color w:val="000000" w:themeColor="text1"/>
        </w:rPr>
        <w:t xml:space="preserve"> pun</w:t>
      </w:r>
      <w:r w:rsidR="00457939" w:rsidRPr="0087685E">
        <w:rPr>
          <w:rFonts w:ascii="Times New Roman" w:hAnsi="Times New Roman" w:cs="Times New Roman"/>
          <w:noProof/>
          <w:color w:val="000000" w:themeColor="text1"/>
        </w:rPr>
        <w:t>ë</w:t>
      </w:r>
      <w:r w:rsidR="004E67CA" w:rsidRPr="0087685E">
        <w:rPr>
          <w:rFonts w:ascii="Times New Roman" w:hAnsi="Times New Roman" w:cs="Times New Roman"/>
          <w:noProof/>
          <w:color w:val="000000" w:themeColor="text1"/>
        </w:rPr>
        <w:t xml:space="preserve">s për transpozimin e Rregullores (BE) 2023/1114 </w:t>
      </w:r>
      <w:r w:rsidR="00457939" w:rsidRPr="0087685E">
        <w:rPr>
          <w:rFonts w:ascii="Times New Roman" w:hAnsi="Times New Roman" w:cs="Times New Roman"/>
          <w:noProof/>
          <w:color w:val="000000" w:themeColor="text1"/>
        </w:rPr>
        <w:t>“</w:t>
      </w:r>
      <w:r w:rsidR="004E67CA" w:rsidRPr="0087685E">
        <w:rPr>
          <w:rFonts w:ascii="Times New Roman" w:hAnsi="Times New Roman" w:cs="Times New Roman"/>
          <w:noProof/>
          <w:color w:val="000000" w:themeColor="text1"/>
        </w:rPr>
        <w:t>Për Tregjet e Kripto</w:t>
      </w:r>
      <w:r w:rsidR="00457939" w:rsidRPr="0087685E">
        <w:rPr>
          <w:rFonts w:ascii="Times New Roman" w:hAnsi="Times New Roman" w:cs="Times New Roman"/>
          <w:noProof/>
          <w:color w:val="000000" w:themeColor="text1"/>
        </w:rPr>
        <w:t xml:space="preserve"> </w:t>
      </w:r>
      <w:r w:rsidR="004E67CA" w:rsidRPr="0087685E">
        <w:rPr>
          <w:rFonts w:ascii="Times New Roman" w:hAnsi="Times New Roman" w:cs="Times New Roman"/>
          <w:noProof/>
          <w:color w:val="000000" w:themeColor="text1"/>
        </w:rPr>
        <w:t>Aseteve</w:t>
      </w:r>
      <w:r w:rsidR="00457939" w:rsidRPr="0087685E">
        <w:rPr>
          <w:rFonts w:ascii="Times New Roman" w:hAnsi="Times New Roman" w:cs="Times New Roman"/>
          <w:noProof/>
          <w:color w:val="000000" w:themeColor="text1"/>
        </w:rPr>
        <w:t>”</w:t>
      </w:r>
      <w:r w:rsidR="004E67CA" w:rsidRPr="0087685E">
        <w:rPr>
          <w:rFonts w:ascii="Times New Roman" w:hAnsi="Times New Roman" w:cs="Times New Roman"/>
          <w:noProof/>
          <w:color w:val="000000" w:themeColor="text1"/>
        </w:rPr>
        <w:t xml:space="preserve"> në kuadrin ligjor të Republikës së Shqipëris</w:t>
      </w:r>
      <w:r w:rsidR="00457939" w:rsidRPr="0087685E">
        <w:rPr>
          <w:rFonts w:ascii="Times New Roman" w:hAnsi="Times New Roman" w:cs="Times New Roman"/>
          <w:noProof/>
          <w:color w:val="000000" w:themeColor="text1"/>
        </w:rPr>
        <w:t xml:space="preserve">ë. </w:t>
      </w:r>
    </w:p>
    <w:p w14:paraId="26F8276A" w14:textId="77777777" w:rsidR="0087685E" w:rsidRDefault="0087685E" w:rsidP="00051667">
      <w:pPr>
        <w:spacing w:after="0" w:line="276" w:lineRule="auto"/>
        <w:jc w:val="both"/>
        <w:rPr>
          <w:rFonts w:ascii="Times New Roman" w:hAnsi="Times New Roman" w:cs="Times New Roman"/>
          <w:noProof/>
          <w:color w:val="000000" w:themeColor="text1"/>
        </w:rPr>
      </w:pPr>
    </w:p>
    <w:p w14:paraId="2783149A" w14:textId="5A667089" w:rsidR="00AC5C5B" w:rsidRPr="0087685E" w:rsidRDefault="00457939" w:rsidP="00051667">
      <w:pPr>
        <w:spacing w:after="0" w:line="276" w:lineRule="auto"/>
        <w:jc w:val="both"/>
        <w:rPr>
          <w:rFonts w:ascii="Times New Roman" w:hAnsi="Times New Roman" w:cs="Times New Roman"/>
          <w:noProof/>
          <w:color w:val="000000" w:themeColor="text1"/>
        </w:rPr>
      </w:pPr>
      <w:r w:rsidRPr="0087685E">
        <w:rPr>
          <w:rFonts w:ascii="Times New Roman" w:hAnsi="Times New Roman" w:cs="Times New Roman"/>
          <w:noProof/>
          <w:color w:val="000000" w:themeColor="text1"/>
        </w:rPr>
        <w:t xml:space="preserve">Në hartimin e projektligjit Autoriteti i Mbikëqyrjes Financiare </w:t>
      </w:r>
      <w:r w:rsidR="000E366D" w:rsidRPr="0087685E">
        <w:rPr>
          <w:rFonts w:ascii="Times New Roman" w:hAnsi="Times New Roman" w:cs="Times New Roman"/>
          <w:noProof/>
          <w:color w:val="000000" w:themeColor="text1"/>
        </w:rPr>
        <w:t>është</w:t>
      </w:r>
      <w:r w:rsidRPr="0087685E">
        <w:rPr>
          <w:rFonts w:ascii="Times New Roman" w:hAnsi="Times New Roman" w:cs="Times New Roman"/>
          <w:noProof/>
          <w:color w:val="000000" w:themeColor="text1"/>
        </w:rPr>
        <w:t xml:space="preserve"> </w:t>
      </w:r>
      <w:r w:rsidR="00AC5C5B" w:rsidRPr="0087685E">
        <w:rPr>
          <w:rFonts w:ascii="Times New Roman" w:hAnsi="Times New Roman" w:cs="Times New Roman"/>
          <w:noProof/>
          <w:color w:val="000000" w:themeColor="text1"/>
        </w:rPr>
        <w:t>asist</w:t>
      </w:r>
      <w:r w:rsidRPr="0087685E">
        <w:rPr>
          <w:rFonts w:ascii="Times New Roman" w:hAnsi="Times New Roman" w:cs="Times New Roman"/>
          <w:noProof/>
          <w:color w:val="000000" w:themeColor="text1"/>
        </w:rPr>
        <w:t>uar dhe nga</w:t>
      </w:r>
      <w:r w:rsidR="00AC5C5B" w:rsidRPr="0087685E">
        <w:rPr>
          <w:rFonts w:ascii="Times New Roman" w:hAnsi="Times New Roman" w:cs="Times New Roman"/>
          <w:noProof/>
          <w:color w:val="000000" w:themeColor="text1"/>
        </w:rPr>
        <w:t xml:space="preserve"> ekspertë ndërkombëtarë, </w:t>
      </w:r>
      <w:r w:rsidRPr="0087685E">
        <w:rPr>
          <w:rFonts w:ascii="Times New Roman" w:hAnsi="Times New Roman" w:cs="Times New Roman"/>
          <w:noProof/>
          <w:color w:val="000000" w:themeColor="text1"/>
        </w:rPr>
        <w:t>me mbështetjen e</w:t>
      </w:r>
      <w:r w:rsidR="00AC5C5B" w:rsidRPr="0087685E">
        <w:rPr>
          <w:rFonts w:ascii="Times New Roman" w:hAnsi="Times New Roman" w:cs="Times New Roman"/>
          <w:noProof/>
          <w:color w:val="000000" w:themeColor="text1"/>
        </w:rPr>
        <w:t xml:space="preserve"> Agjencia Gjermane për Bashkëpunim Ndërkombëtar (GIZ) Albania</w:t>
      </w:r>
      <w:r w:rsidR="006B1FDD" w:rsidRPr="0087685E">
        <w:rPr>
          <w:rFonts w:ascii="Times New Roman" w:hAnsi="Times New Roman" w:cs="Times New Roman"/>
          <w:noProof/>
          <w:color w:val="000000" w:themeColor="text1"/>
        </w:rPr>
        <w:t>, n</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kuad</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r t</w:t>
      </w:r>
      <w:r w:rsidR="00665016" w:rsidRPr="0087685E">
        <w:rPr>
          <w:rFonts w:ascii="Times New Roman" w:hAnsi="Times New Roman" w:cs="Times New Roman"/>
          <w:noProof/>
          <w:color w:val="000000" w:themeColor="text1"/>
        </w:rPr>
        <w:t>ë</w:t>
      </w:r>
      <w:r w:rsidR="006B1FDD" w:rsidRPr="0087685E">
        <w:rPr>
          <w:rFonts w:ascii="Times New Roman" w:hAnsi="Times New Roman" w:cs="Times New Roman"/>
          <w:noProof/>
          <w:color w:val="000000" w:themeColor="text1"/>
        </w:rPr>
        <w:t xml:space="preserve"> projektit SANECA II</w:t>
      </w:r>
      <w:r w:rsidRPr="0087685E">
        <w:rPr>
          <w:rFonts w:ascii="Times New Roman" w:hAnsi="Times New Roman" w:cs="Times New Roman"/>
          <w:noProof/>
          <w:color w:val="000000" w:themeColor="text1"/>
        </w:rPr>
        <w:t xml:space="preserve">. </w:t>
      </w:r>
    </w:p>
    <w:p w14:paraId="26425554" w14:textId="77777777" w:rsidR="00E76D5B" w:rsidRPr="00051667" w:rsidRDefault="00E76D5B" w:rsidP="00051667">
      <w:pPr>
        <w:spacing w:after="0" w:line="276" w:lineRule="auto"/>
        <w:jc w:val="both"/>
        <w:rPr>
          <w:rFonts w:ascii="Times New Roman" w:hAnsi="Times New Roman" w:cs="Times New Roman"/>
          <w:noProof/>
        </w:rPr>
      </w:pPr>
    </w:p>
    <w:p w14:paraId="2DBFAA6F" w14:textId="17F35AB5" w:rsidR="004E1211" w:rsidRPr="00FB52CF" w:rsidRDefault="004E1211" w:rsidP="00FB52CF">
      <w:pPr>
        <w:pStyle w:val="ListParagraph"/>
        <w:numPr>
          <w:ilvl w:val="0"/>
          <w:numId w:val="2"/>
        </w:numPr>
        <w:spacing w:after="0" w:line="276" w:lineRule="auto"/>
        <w:jc w:val="both"/>
        <w:rPr>
          <w:rFonts w:ascii="Times New Roman" w:hAnsi="Times New Roman" w:cs="Times New Roman"/>
          <w:b/>
          <w:bCs/>
          <w:noProof/>
        </w:rPr>
      </w:pPr>
      <w:r w:rsidRPr="00FB52CF">
        <w:rPr>
          <w:rFonts w:ascii="Times New Roman" w:hAnsi="Times New Roman" w:cs="Times New Roman"/>
          <w:b/>
          <w:bCs/>
          <w:noProof/>
        </w:rPr>
        <w:t>RAPORTI I VLERËSIMIT TË TË ARDHURAVE DHE SHPENZIMEVE BUXHETORE</w:t>
      </w:r>
    </w:p>
    <w:p w14:paraId="0E7E5CCB" w14:textId="77777777" w:rsidR="004E1211" w:rsidRPr="007504DC" w:rsidRDefault="004E1211" w:rsidP="007504DC">
      <w:pPr>
        <w:spacing w:after="0" w:line="276" w:lineRule="auto"/>
        <w:jc w:val="both"/>
        <w:rPr>
          <w:rFonts w:ascii="Times New Roman" w:hAnsi="Times New Roman" w:cs="Times New Roman"/>
          <w:noProof/>
        </w:rPr>
      </w:pPr>
    </w:p>
    <w:p w14:paraId="621DA117" w14:textId="3F708F2D" w:rsidR="00BF3558" w:rsidRPr="00BF3558" w:rsidRDefault="00BF3558" w:rsidP="007504DC">
      <w:pPr>
        <w:spacing w:after="0" w:line="276" w:lineRule="auto"/>
        <w:jc w:val="both"/>
        <w:rPr>
          <w:rFonts w:ascii="Times New Roman" w:hAnsi="Times New Roman" w:cs="Times New Roman"/>
          <w:noProof/>
          <w:lang w:val="en-US"/>
        </w:rPr>
      </w:pPr>
      <w:r w:rsidRPr="00BF3558">
        <w:rPr>
          <w:rFonts w:ascii="Times New Roman" w:hAnsi="Times New Roman" w:cs="Times New Roman"/>
          <w:noProof/>
          <w:lang w:val="en-US"/>
        </w:rPr>
        <w:t xml:space="preserve">Projektligji nuk prodhon efekte financiare mbi Buxhetin e Shtetit, pasi zbatimi i tij mbështetet në kapacitetet dhe burimet vetëfinancuese të institucioneve përgjegjëse. Autoriteti i Mbikëqyrjes Financiare është institucion i pavarur dhe financohet nga të ardhurat e veta, përfshirë tarifat dhe </w:t>
      </w:r>
      <w:r w:rsidR="007504DC">
        <w:rPr>
          <w:rFonts w:ascii="Times New Roman" w:hAnsi="Times New Roman" w:cs="Times New Roman"/>
          <w:noProof/>
          <w:lang w:val="en-US"/>
        </w:rPr>
        <w:t>sanksionet</w:t>
      </w:r>
      <w:r w:rsidRPr="00BF3558">
        <w:rPr>
          <w:rFonts w:ascii="Times New Roman" w:hAnsi="Times New Roman" w:cs="Times New Roman"/>
          <w:noProof/>
          <w:lang w:val="en-US"/>
        </w:rPr>
        <w:t xml:space="preserve"> </w:t>
      </w:r>
      <w:r w:rsidR="007504DC">
        <w:rPr>
          <w:rFonts w:ascii="Times New Roman" w:hAnsi="Times New Roman" w:cs="Times New Roman"/>
          <w:noProof/>
          <w:lang w:val="en-US"/>
        </w:rPr>
        <w:t>ndaj</w:t>
      </w:r>
      <w:r w:rsidRPr="00BF3558">
        <w:rPr>
          <w:rFonts w:ascii="Times New Roman" w:hAnsi="Times New Roman" w:cs="Times New Roman"/>
          <w:noProof/>
          <w:lang w:val="en-US"/>
        </w:rPr>
        <w:t xml:space="preserve"> subjekteve të mbikëqyrura, pa kërkuar fonde nga buxheti publik. </w:t>
      </w:r>
    </w:p>
    <w:p w14:paraId="4A58DEA7" w14:textId="77777777" w:rsidR="00BF3558" w:rsidRDefault="00BF3558" w:rsidP="007504DC">
      <w:pPr>
        <w:spacing w:after="0" w:line="276" w:lineRule="auto"/>
        <w:jc w:val="both"/>
        <w:rPr>
          <w:rFonts w:ascii="Times New Roman" w:hAnsi="Times New Roman" w:cs="Times New Roman"/>
          <w:noProof/>
          <w:lang w:val="en-US"/>
        </w:rPr>
      </w:pPr>
    </w:p>
    <w:p w14:paraId="25B9D436" w14:textId="5981B2FC" w:rsidR="00BF3558" w:rsidRPr="00BF3558" w:rsidRDefault="00BF3558" w:rsidP="007504DC">
      <w:pPr>
        <w:spacing w:after="0" w:line="276" w:lineRule="auto"/>
        <w:jc w:val="both"/>
        <w:rPr>
          <w:rFonts w:ascii="Times New Roman" w:hAnsi="Times New Roman" w:cs="Times New Roman"/>
          <w:noProof/>
          <w:lang w:val="en-US"/>
        </w:rPr>
      </w:pPr>
      <w:r w:rsidRPr="00BF3558">
        <w:rPr>
          <w:rFonts w:ascii="Times New Roman" w:hAnsi="Times New Roman" w:cs="Times New Roman"/>
          <w:noProof/>
          <w:lang w:val="en-US"/>
        </w:rPr>
        <w:t>Banka e Shqipërisë mbulon shpenzimet operacionale nga të ardhurat e</w:t>
      </w:r>
      <w:r w:rsidR="007504DC">
        <w:rPr>
          <w:rFonts w:ascii="Times New Roman" w:hAnsi="Times New Roman" w:cs="Times New Roman"/>
          <w:noProof/>
          <w:lang w:val="en-US"/>
        </w:rPr>
        <w:t xml:space="preserve"> veta</w:t>
      </w:r>
      <w:r w:rsidRPr="00BF3558">
        <w:rPr>
          <w:rFonts w:ascii="Times New Roman" w:hAnsi="Times New Roman" w:cs="Times New Roman"/>
          <w:noProof/>
          <w:lang w:val="en-US"/>
        </w:rPr>
        <w:t xml:space="preserve"> dhe vetëm teprica e fitimit, pas rritjes së fondeve të rezervës, kalon në të ardhurat e Buxhetit të Shtetit. Ky regjim </w:t>
      </w:r>
      <w:r w:rsidR="007504DC">
        <w:rPr>
          <w:rFonts w:ascii="Times New Roman" w:hAnsi="Times New Roman" w:cs="Times New Roman"/>
          <w:noProof/>
          <w:lang w:val="en-US"/>
        </w:rPr>
        <w:t>dëshmon</w:t>
      </w:r>
      <w:r w:rsidRPr="00BF3558">
        <w:rPr>
          <w:rFonts w:ascii="Times New Roman" w:hAnsi="Times New Roman" w:cs="Times New Roman"/>
          <w:noProof/>
          <w:lang w:val="en-US"/>
        </w:rPr>
        <w:t xml:space="preserve"> vetëfinancimin e funksioneve të </w:t>
      </w:r>
      <w:r w:rsidR="007504DC">
        <w:rPr>
          <w:rFonts w:ascii="Times New Roman" w:hAnsi="Times New Roman" w:cs="Times New Roman"/>
          <w:noProof/>
          <w:lang w:val="en-US"/>
        </w:rPr>
        <w:t xml:space="preserve">Bankës së Shqipërisë </w:t>
      </w:r>
      <w:r w:rsidRPr="00BF3558">
        <w:rPr>
          <w:rFonts w:ascii="Times New Roman" w:hAnsi="Times New Roman" w:cs="Times New Roman"/>
          <w:noProof/>
          <w:lang w:val="en-US"/>
        </w:rPr>
        <w:t xml:space="preserve">dhe shmangien e nevojës për rialokime buxhetore për shpenzime të zakonshme të saj. </w:t>
      </w:r>
    </w:p>
    <w:p w14:paraId="650EE1D3" w14:textId="62018470" w:rsidR="00BF3558" w:rsidRDefault="00BF3558" w:rsidP="007504DC">
      <w:pPr>
        <w:spacing w:after="0" w:line="276" w:lineRule="auto"/>
        <w:jc w:val="both"/>
        <w:rPr>
          <w:rFonts w:ascii="Times New Roman" w:hAnsi="Times New Roman" w:cs="Times New Roman"/>
          <w:noProof/>
          <w:lang w:val="en-US"/>
        </w:rPr>
      </w:pPr>
    </w:p>
    <w:p w14:paraId="6981401C" w14:textId="6D9AA8F4" w:rsidR="00BF3558" w:rsidRPr="00BF3558" w:rsidRDefault="00BF3558" w:rsidP="007504DC">
      <w:pPr>
        <w:spacing w:after="0" w:line="276" w:lineRule="auto"/>
        <w:jc w:val="both"/>
        <w:rPr>
          <w:rFonts w:ascii="Times New Roman" w:hAnsi="Times New Roman" w:cs="Times New Roman"/>
          <w:noProof/>
          <w:lang w:val="en-US"/>
        </w:rPr>
      </w:pPr>
      <w:r>
        <w:rPr>
          <w:rFonts w:ascii="Times New Roman" w:hAnsi="Times New Roman" w:cs="Times New Roman"/>
          <w:noProof/>
          <w:lang w:val="en-US"/>
        </w:rPr>
        <w:t xml:space="preserve">Si rrjedhojë, </w:t>
      </w:r>
      <w:r w:rsidRPr="00BF3558">
        <w:rPr>
          <w:rFonts w:ascii="Times New Roman" w:hAnsi="Times New Roman" w:cs="Times New Roman"/>
          <w:noProof/>
        </w:rPr>
        <w:t xml:space="preserve">zbatimi i projektligjit realizohet përmes mekanizmave ekzistues të vetëfinancimit të AMF dhe Bankës së Shqipërisë dhe përmes tarifave rregullatore </w:t>
      </w:r>
      <w:r w:rsidR="007504DC">
        <w:rPr>
          <w:rFonts w:ascii="Times New Roman" w:hAnsi="Times New Roman" w:cs="Times New Roman"/>
          <w:noProof/>
        </w:rPr>
        <w:t>ndaj</w:t>
      </w:r>
      <w:r w:rsidRPr="00BF3558">
        <w:rPr>
          <w:rFonts w:ascii="Times New Roman" w:hAnsi="Times New Roman" w:cs="Times New Roman"/>
          <w:noProof/>
        </w:rPr>
        <w:t xml:space="preserve"> subjekte</w:t>
      </w:r>
      <w:r w:rsidR="007504DC">
        <w:rPr>
          <w:rFonts w:ascii="Times New Roman" w:hAnsi="Times New Roman" w:cs="Times New Roman"/>
          <w:noProof/>
        </w:rPr>
        <w:t>ve operues këto tregje.</w:t>
      </w:r>
    </w:p>
    <w:p w14:paraId="2644F02B" w14:textId="77777777" w:rsidR="00AC5C5B" w:rsidRPr="00051667" w:rsidRDefault="00AC5C5B" w:rsidP="00051667">
      <w:pPr>
        <w:spacing w:after="0" w:line="276" w:lineRule="auto"/>
        <w:rPr>
          <w:rFonts w:ascii="Times New Roman" w:hAnsi="Times New Roman" w:cs="Times New Roman"/>
          <w:noProof/>
        </w:rPr>
      </w:pPr>
    </w:p>
    <w:sectPr w:rsidR="00AC5C5B" w:rsidRPr="00051667">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usjana Lloji" w:date="2025-11-18T11:53:00Z" w:initials="LL">
    <w:p w14:paraId="40773BAE" w14:textId="77777777" w:rsidR="00FB52CF" w:rsidRDefault="00FB52CF" w:rsidP="00FB52CF">
      <w:pPr>
        <w:pStyle w:val="CommentText"/>
      </w:pPr>
      <w:r>
        <w:rPr>
          <w:rStyle w:val="CommentReference"/>
        </w:rPr>
        <w:annotationRef/>
      </w:r>
      <w:r>
        <w:t>Mungon neni 63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73B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46A28C" w16cex:dateUtc="2025-11-18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73BAE" w16cid:durableId="2046A2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0BDCA" w14:textId="77777777" w:rsidR="00BE01D0" w:rsidRDefault="00BE01D0" w:rsidP="006B1FDD">
      <w:pPr>
        <w:spacing w:after="0" w:line="240" w:lineRule="auto"/>
      </w:pPr>
      <w:r>
        <w:separator/>
      </w:r>
    </w:p>
  </w:endnote>
  <w:endnote w:type="continuationSeparator" w:id="0">
    <w:p w14:paraId="313E6AEB" w14:textId="77777777" w:rsidR="00BE01D0" w:rsidRDefault="00BE01D0" w:rsidP="006B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18166"/>
      <w:docPartObj>
        <w:docPartGallery w:val="Page Numbers (Bottom of Page)"/>
        <w:docPartUnique/>
      </w:docPartObj>
    </w:sdtPr>
    <w:sdtEndPr>
      <w:rPr>
        <w:noProof/>
      </w:rPr>
    </w:sdtEndPr>
    <w:sdtContent>
      <w:p w14:paraId="421CB618" w14:textId="5867B28E" w:rsidR="006B1FDD" w:rsidRDefault="006B1FDD">
        <w:pPr>
          <w:pStyle w:val="Footer"/>
          <w:jc w:val="right"/>
        </w:pPr>
        <w:r>
          <w:fldChar w:fldCharType="begin"/>
        </w:r>
        <w:r>
          <w:instrText xml:space="preserve"> PAGE   \* MERGEFORMAT </w:instrText>
        </w:r>
        <w:r>
          <w:fldChar w:fldCharType="separate"/>
        </w:r>
        <w:r w:rsidR="00D75E64">
          <w:rPr>
            <w:noProof/>
          </w:rPr>
          <w:t>1</w:t>
        </w:r>
        <w:r>
          <w:rPr>
            <w:noProof/>
          </w:rPr>
          <w:fldChar w:fldCharType="end"/>
        </w:r>
      </w:p>
    </w:sdtContent>
  </w:sdt>
  <w:p w14:paraId="64BA5B00" w14:textId="77777777" w:rsidR="006B1FDD" w:rsidRDefault="006B1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6065" w14:textId="77777777" w:rsidR="00BE01D0" w:rsidRDefault="00BE01D0" w:rsidP="006B1FDD">
      <w:pPr>
        <w:spacing w:after="0" w:line="240" w:lineRule="auto"/>
      </w:pPr>
      <w:r>
        <w:separator/>
      </w:r>
    </w:p>
  </w:footnote>
  <w:footnote w:type="continuationSeparator" w:id="0">
    <w:p w14:paraId="4542D18E" w14:textId="77777777" w:rsidR="00BE01D0" w:rsidRDefault="00BE01D0" w:rsidP="006B1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60AD"/>
    <w:multiLevelType w:val="hybridMultilevel"/>
    <w:tmpl w:val="0C08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256C"/>
    <w:multiLevelType w:val="hybridMultilevel"/>
    <w:tmpl w:val="B2A4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1410B"/>
    <w:multiLevelType w:val="multilevel"/>
    <w:tmpl w:val="224E5F1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E09A24D"/>
    <w:multiLevelType w:val="hybridMultilevel"/>
    <w:tmpl w:val="FFFFFFFF"/>
    <w:lvl w:ilvl="0" w:tplc="85D8582E">
      <w:start w:val="1"/>
      <w:numFmt w:val="lowerLetter"/>
      <w:lvlText w:val="%1)"/>
      <w:lvlJc w:val="left"/>
      <w:pPr>
        <w:ind w:left="720" w:hanging="360"/>
      </w:pPr>
    </w:lvl>
    <w:lvl w:ilvl="1" w:tplc="5D9A4910">
      <w:start w:val="1"/>
      <w:numFmt w:val="lowerLetter"/>
      <w:lvlText w:val="%2."/>
      <w:lvlJc w:val="left"/>
      <w:pPr>
        <w:ind w:left="1440" w:hanging="360"/>
      </w:pPr>
    </w:lvl>
    <w:lvl w:ilvl="2" w:tplc="56322C62">
      <w:start w:val="1"/>
      <w:numFmt w:val="lowerRoman"/>
      <w:lvlText w:val="%3."/>
      <w:lvlJc w:val="right"/>
      <w:pPr>
        <w:ind w:left="2160" w:hanging="180"/>
      </w:pPr>
    </w:lvl>
    <w:lvl w:ilvl="3" w:tplc="2FC04C72">
      <w:start w:val="1"/>
      <w:numFmt w:val="decimal"/>
      <w:lvlText w:val="%4."/>
      <w:lvlJc w:val="left"/>
      <w:pPr>
        <w:ind w:left="2880" w:hanging="360"/>
      </w:pPr>
    </w:lvl>
    <w:lvl w:ilvl="4" w:tplc="4A04002E">
      <w:start w:val="1"/>
      <w:numFmt w:val="lowerLetter"/>
      <w:lvlText w:val="%5."/>
      <w:lvlJc w:val="left"/>
      <w:pPr>
        <w:ind w:left="3600" w:hanging="360"/>
      </w:pPr>
    </w:lvl>
    <w:lvl w:ilvl="5" w:tplc="6728CDEE">
      <w:start w:val="1"/>
      <w:numFmt w:val="lowerRoman"/>
      <w:lvlText w:val="%6."/>
      <w:lvlJc w:val="right"/>
      <w:pPr>
        <w:ind w:left="4320" w:hanging="180"/>
      </w:pPr>
    </w:lvl>
    <w:lvl w:ilvl="6" w:tplc="C4962882">
      <w:start w:val="1"/>
      <w:numFmt w:val="decimal"/>
      <w:lvlText w:val="%7."/>
      <w:lvlJc w:val="left"/>
      <w:pPr>
        <w:ind w:left="5040" w:hanging="360"/>
      </w:pPr>
    </w:lvl>
    <w:lvl w:ilvl="7" w:tplc="804EA4DE">
      <w:start w:val="1"/>
      <w:numFmt w:val="lowerLetter"/>
      <w:lvlText w:val="%8."/>
      <w:lvlJc w:val="left"/>
      <w:pPr>
        <w:ind w:left="5760" w:hanging="360"/>
      </w:pPr>
    </w:lvl>
    <w:lvl w:ilvl="8" w:tplc="84F65FB0">
      <w:start w:val="1"/>
      <w:numFmt w:val="lowerRoman"/>
      <w:lvlText w:val="%9."/>
      <w:lvlJc w:val="right"/>
      <w:pPr>
        <w:ind w:left="6480" w:hanging="180"/>
      </w:pPr>
    </w:lvl>
  </w:abstractNum>
  <w:abstractNum w:abstractNumId="4" w15:restartNumberingAfterBreak="0">
    <w:nsid w:val="1F5001B0"/>
    <w:multiLevelType w:val="multilevel"/>
    <w:tmpl w:val="F5F8D1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9D9176C"/>
    <w:multiLevelType w:val="multilevel"/>
    <w:tmpl w:val="86608F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F75378"/>
    <w:multiLevelType w:val="hybridMultilevel"/>
    <w:tmpl w:val="DBF84208"/>
    <w:lvl w:ilvl="0" w:tplc="C17432A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710188"/>
    <w:multiLevelType w:val="multilevel"/>
    <w:tmpl w:val="CD5E15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1595822"/>
    <w:multiLevelType w:val="hybridMultilevel"/>
    <w:tmpl w:val="D6A61B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1C364A"/>
    <w:multiLevelType w:val="hybridMultilevel"/>
    <w:tmpl w:val="639269D2"/>
    <w:lvl w:ilvl="0" w:tplc="3E743CE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91DAE"/>
    <w:multiLevelType w:val="multilevel"/>
    <w:tmpl w:val="B3C8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26C5AF2"/>
    <w:multiLevelType w:val="hybridMultilevel"/>
    <w:tmpl w:val="CF06AEFA"/>
    <w:lvl w:ilvl="0" w:tplc="3904A224">
      <w:start w:val="5"/>
      <w:numFmt w:val="upperRoman"/>
      <w:lvlText w:val="%1."/>
      <w:lvlJc w:val="left"/>
      <w:pPr>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951806">
    <w:abstractNumId w:val="6"/>
  </w:num>
  <w:num w:numId="2" w16cid:durableId="1247105866">
    <w:abstractNumId w:val="11"/>
  </w:num>
  <w:num w:numId="3" w16cid:durableId="951479195">
    <w:abstractNumId w:val="9"/>
  </w:num>
  <w:num w:numId="4" w16cid:durableId="1397431376">
    <w:abstractNumId w:val="1"/>
  </w:num>
  <w:num w:numId="5" w16cid:durableId="694884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150203">
    <w:abstractNumId w:val="10"/>
  </w:num>
  <w:num w:numId="7" w16cid:durableId="1307859336">
    <w:abstractNumId w:val="5"/>
  </w:num>
  <w:num w:numId="8" w16cid:durableId="1301032448">
    <w:abstractNumId w:val="4"/>
  </w:num>
  <w:num w:numId="9" w16cid:durableId="803088080">
    <w:abstractNumId w:val="2"/>
  </w:num>
  <w:num w:numId="10" w16cid:durableId="140971631">
    <w:abstractNumId w:val="7"/>
  </w:num>
  <w:num w:numId="11" w16cid:durableId="727458245">
    <w:abstractNumId w:val="8"/>
  </w:num>
  <w:num w:numId="12" w16cid:durableId="18583012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sjana Lloji">
    <w15:presenceInfo w15:providerId="AD" w15:userId="S::Lusjana.Lloji@amf.gov.al::a22a9176-662b-4662-8a44-7ed076b69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5B"/>
    <w:rsid w:val="00006D24"/>
    <w:rsid w:val="00007691"/>
    <w:rsid w:val="00010BE2"/>
    <w:rsid w:val="00011C40"/>
    <w:rsid w:val="00026ADC"/>
    <w:rsid w:val="000430F4"/>
    <w:rsid w:val="000449ED"/>
    <w:rsid w:val="00050D8F"/>
    <w:rsid w:val="00051667"/>
    <w:rsid w:val="000923FD"/>
    <w:rsid w:val="000A0378"/>
    <w:rsid w:val="000A772B"/>
    <w:rsid w:val="000C24B8"/>
    <w:rsid w:val="000E07AD"/>
    <w:rsid w:val="000E366D"/>
    <w:rsid w:val="000E4A1C"/>
    <w:rsid w:val="00117F0E"/>
    <w:rsid w:val="00124914"/>
    <w:rsid w:val="001421D5"/>
    <w:rsid w:val="0016549B"/>
    <w:rsid w:val="00181A9B"/>
    <w:rsid w:val="00197678"/>
    <w:rsid w:val="001B2924"/>
    <w:rsid w:val="001B51A3"/>
    <w:rsid w:val="001C3CA1"/>
    <w:rsid w:val="001C4D40"/>
    <w:rsid w:val="001E588A"/>
    <w:rsid w:val="001F2204"/>
    <w:rsid w:val="001F3E23"/>
    <w:rsid w:val="002029CF"/>
    <w:rsid w:val="00212F9A"/>
    <w:rsid w:val="00217C5A"/>
    <w:rsid w:val="002330E0"/>
    <w:rsid w:val="00244B1B"/>
    <w:rsid w:val="00291173"/>
    <w:rsid w:val="00292E44"/>
    <w:rsid w:val="00297089"/>
    <w:rsid w:val="002A4004"/>
    <w:rsid w:val="00323021"/>
    <w:rsid w:val="00335E96"/>
    <w:rsid w:val="00337BFE"/>
    <w:rsid w:val="00343147"/>
    <w:rsid w:val="00380CE0"/>
    <w:rsid w:val="0038717D"/>
    <w:rsid w:val="003C1372"/>
    <w:rsid w:val="003C1D57"/>
    <w:rsid w:val="003F6393"/>
    <w:rsid w:val="003F65F3"/>
    <w:rsid w:val="00442A61"/>
    <w:rsid w:val="00452F60"/>
    <w:rsid w:val="00457939"/>
    <w:rsid w:val="00485A08"/>
    <w:rsid w:val="004B1BBD"/>
    <w:rsid w:val="004C2EB4"/>
    <w:rsid w:val="004C5897"/>
    <w:rsid w:val="004D21BC"/>
    <w:rsid w:val="004E1211"/>
    <w:rsid w:val="004E67CA"/>
    <w:rsid w:val="004E697E"/>
    <w:rsid w:val="004F574A"/>
    <w:rsid w:val="00531017"/>
    <w:rsid w:val="00536586"/>
    <w:rsid w:val="00547762"/>
    <w:rsid w:val="0055150A"/>
    <w:rsid w:val="00572656"/>
    <w:rsid w:val="005853AF"/>
    <w:rsid w:val="00587F98"/>
    <w:rsid w:val="00596E2C"/>
    <w:rsid w:val="00602409"/>
    <w:rsid w:val="00612C2D"/>
    <w:rsid w:val="00623DCF"/>
    <w:rsid w:val="00662E0B"/>
    <w:rsid w:val="00665016"/>
    <w:rsid w:val="006652A8"/>
    <w:rsid w:val="006741CC"/>
    <w:rsid w:val="00685BBB"/>
    <w:rsid w:val="006A34F8"/>
    <w:rsid w:val="006B1FDD"/>
    <w:rsid w:val="006B400B"/>
    <w:rsid w:val="006B5498"/>
    <w:rsid w:val="006B7DBD"/>
    <w:rsid w:val="006F663D"/>
    <w:rsid w:val="00713B1A"/>
    <w:rsid w:val="007152F9"/>
    <w:rsid w:val="007179B9"/>
    <w:rsid w:val="00732A6A"/>
    <w:rsid w:val="007500B7"/>
    <w:rsid w:val="007504DC"/>
    <w:rsid w:val="007552EC"/>
    <w:rsid w:val="00767BB5"/>
    <w:rsid w:val="0077659B"/>
    <w:rsid w:val="007801E1"/>
    <w:rsid w:val="00781B81"/>
    <w:rsid w:val="00784573"/>
    <w:rsid w:val="007A6496"/>
    <w:rsid w:val="007D3DA7"/>
    <w:rsid w:val="008143D8"/>
    <w:rsid w:val="0081712F"/>
    <w:rsid w:val="008476AD"/>
    <w:rsid w:val="0087685E"/>
    <w:rsid w:val="00876D7B"/>
    <w:rsid w:val="00880401"/>
    <w:rsid w:val="00887029"/>
    <w:rsid w:val="008956E0"/>
    <w:rsid w:val="008A04A4"/>
    <w:rsid w:val="008C72BD"/>
    <w:rsid w:val="008E07E3"/>
    <w:rsid w:val="008E26DA"/>
    <w:rsid w:val="008E5371"/>
    <w:rsid w:val="00905B85"/>
    <w:rsid w:val="0090713E"/>
    <w:rsid w:val="0095434B"/>
    <w:rsid w:val="0096548E"/>
    <w:rsid w:val="0096644F"/>
    <w:rsid w:val="0099725C"/>
    <w:rsid w:val="009B3C11"/>
    <w:rsid w:val="009C436F"/>
    <w:rsid w:val="009D594A"/>
    <w:rsid w:val="009E4B97"/>
    <w:rsid w:val="009F60D3"/>
    <w:rsid w:val="00A0181F"/>
    <w:rsid w:val="00A13A21"/>
    <w:rsid w:val="00A36F3D"/>
    <w:rsid w:val="00A407A5"/>
    <w:rsid w:val="00A60AE8"/>
    <w:rsid w:val="00A84390"/>
    <w:rsid w:val="00A91044"/>
    <w:rsid w:val="00A947C2"/>
    <w:rsid w:val="00AB419A"/>
    <w:rsid w:val="00AB5A67"/>
    <w:rsid w:val="00AB5C10"/>
    <w:rsid w:val="00AC000C"/>
    <w:rsid w:val="00AC5C5B"/>
    <w:rsid w:val="00AE1AAC"/>
    <w:rsid w:val="00AE5D7C"/>
    <w:rsid w:val="00B036FD"/>
    <w:rsid w:val="00B1352B"/>
    <w:rsid w:val="00B23948"/>
    <w:rsid w:val="00B23FF7"/>
    <w:rsid w:val="00B36117"/>
    <w:rsid w:val="00B4226C"/>
    <w:rsid w:val="00BA776E"/>
    <w:rsid w:val="00BE01D0"/>
    <w:rsid w:val="00BF022E"/>
    <w:rsid w:val="00BF3558"/>
    <w:rsid w:val="00C020F7"/>
    <w:rsid w:val="00C10871"/>
    <w:rsid w:val="00C42FB6"/>
    <w:rsid w:val="00C44E1A"/>
    <w:rsid w:val="00C51C57"/>
    <w:rsid w:val="00C87CDC"/>
    <w:rsid w:val="00CD59C9"/>
    <w:rsid w:val="00CE362C"/>
    <w:rsid w:val="00CE3D5A"/>
    <w:rsid w:val="00CE4896"/>
    <w:rsid w:val="00CE5362"/>
    <w:rsid w:val="00D06659"/>
    <w:rsid w:val="00D13D14"/>
    <w:rsid w:val="00D32B17"/>
    <w:rsid w:val="00D34A82"/>
    <w:rsid w:val="00D35EC1"/>
    <w:rsid w:val="00D3748C"/>
    <w:rsid w:val="00D475D9"/>
    <w:rsid w:val="00D71344"/>
    <w:rsid w:val="00D75E64"/>
    <w:rsid w:val="00DA6728"/>
    <w:rsid w:val="00DE19C9"/>
    <w:rsid w:val="00DE66BE"/>
    <w:rsid w:val="00E07CC3"/>
    <w:rsid w:val="00E10B17"/>
    <w:rsid w:val="00E74A46"/>
    <w:rsid w:val="00E76D5B"/>
    <w:rsid w:val="00E8105E"/>
    <w:rsid w:val="00E96F34"/>
    <w:rsid w:val="00ED6BB2"/>
    <w:rsid w:val="00F003BF"/>
    <w:rsid w:val="00F04C22"/>
    <w:rsid w:val="00F051FD"/>
    <w:rsid w:val="00F16262"/>
    <w:rsid w:val="00F223A2"/>
    <w:rsid w:val="00F425CA"/>
    <w:rsid w:val="00F605B9"/>
    <w:rsid w:val="00F73652"/>
    <w:rsid w:val="00FB347E"/>
    <w:rsid w:val="00FB52CF"/>
    <w:rsid w:val="00FD18FB"/>
    <w:rsid w:val="00FF2DD0"/>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4AAD"/>
  <w15:docId w15:val="{C976D41B-D71B-4BA4-9793-64F00AA2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AC5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C5B"/>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AC5C5B"/>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AC5C5B"/>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AC5C5B"/>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AC5C5B"/>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AC5C5B"/>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AC5C5B"/>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AC5C5B"/>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AC5C5B"/>
    <w:rPr>
      <w:rFonts w:eastAsiaTheme="majorEastAsia" w:cstheme="majorBidi"/>
      <w:color w:val="272727" w:themeColor="text1" w:themeTint="D8"/>
      <w:lang w:val="sq-AL"/>
    </w:rPr>
  </w:style>
  <w:style w:type="paragraph" w:styleId="Title">
    <w:name w:val="Title"/>
    <w:basedOn w:val="Normal"/>
    <w:next w:val="Normal"/>
    <w:link w:val="TitleChar"/>
    <w:uiPriority w:val="99"/>
    <w:qFormat/>
    <w:rsid w:val="00AC5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C5C5B"/>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AC5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C5B"/>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AC5C5B"/>
    <w:pPr>
      <w:spacing w:before="160"/>
      <w:jc w:val="center"/>
    </w:pPr>
    <w:rPr>
      <w:i/>
      <w:iCs/>
      <w:color w:val="404040" w:themeColor="text1" w:themeTint="BF"/>
    </w:rPr>
  </w:style>
  <w:style w:type="character" w:customStyle="1" w:styleId="QuoteChar">
    <w:name w:val="Quote Char"/>
    <w:basedOn w:val="DefaultParagraphFont"/>
    <w:link w:val="Quote"/>
    <w:uiPriority w:val="29"/>
    <w:rsid w:val="00AC5C5B"/>
    <w:rPr>
      <w:i/>
      <w:iCs/>
      <w:color w:val="404040" w:themeColor="text1" w:themeTint="BF"/>
      <w:lang w:val="sq-AL"/>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C5C5B"/>
    <w:pPr>
      <w:ind w:left="720"/>
      <w:contextualSpacing/>
    </w:pPr>
  </w:style>
  <w:style w:type="character" w:styleId="IntenseEmphasis">
    <w:name w:val="Intense Emphasis"/>
    <w:basedOn w:val="DefaultParagraphFont"/>
    <w:uiPriority w:val="21"/>
    <w:qFormat/>
    <w:rsid w:val="00AC5C5B"/>
    <w:rPr>
      <w:i/>
      <w:iCs/>
      <w:color w:val="0F4761" w:themeColor="accent1" w:themeShade="BF"/>
    </w:rPr>
  </w:style>
  <w:style w:type="paragraph" w:styleId="IntenseQuote">
    <w:name w:val="Intense Quote"/>
    <w:basedOn w:val="Normal"/>
    <w:next w:val="Normal"/>
    <w:link w:val="IntenseQuoteChar"/>
    <w:uiPriority w:val="30"/>
    <w:qFormat/>
    <w:rsid w:val="00AC5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C5B"/>
    <w:rPr>
      <w:i/>
      <w:iCs/>
      <w:color w:val="0F4761" w:themeColor="accent1" w:themeShade="BF"/>
      <w:lang w:val="sq-AL"/>
    </w:rPr>
  </w:style>
  <w:style w:type="character" w:styleId="IntenseReference">
    <w:name w:val="Intense Reference"/>
    <w:basedOn w:val="DefaultParagraphFont"/>
    <w:uiPriority w:val="32"/>
    <w:qFormat/>
    <w:rsid w:val="00AC5C5B"/>
    <w:rPr>
      <w:b/>
      <w:bCs/>
      <w:smallCaps/>
      <w:color w:val="0F4761" w:themeColor="accent1" w:themeShade="BF"/>
      <w:spacing w:val="5"/>
    </w:rPr>
  </w:style>
  <w:style w:type="character" w:styleId="Strong">
    <w:name w:val="Strong"/>
    <w:basedOn w:val="DefaultParagraphFont"/>
    <w:uiPriority w:val="22"/>
    <w:qFormat/>
    <w:rsid w:val="00AC5C5B"/>
    <w:rPr>
      <w:rFonts w:ascii="Times New Roman" w:hAnsi="Times New Roman" w:cs="Times New Roman" w:hint="default"/>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qFormat/>
    <w:rsid w:val="00AC5C5B"/>
    <w:rPr>
      <w:lang w:val="sq-AL"/>
    </w:rPr>
  </w:style>
  <w:style w:type="character" w:styleId="CommentReference">
    <w:name w:val="annotation reference"/>
    <w:basedOn w:val="DefaultParagraphFont"/>
    <w:uiPriority w:val="99"/>
    <w:semiHidden/>
    <w:unhideWhenUsed/>
    <w:rsid w:val="006B1FDD"/>
    <w:rPr>
      <w:sz w:val="16"/>
      <w:szCs w:val="16"/>
    </w:rPr>
  </w:style>
  <w:style w:type="paragraph" w:styleId="CommentText">
    <w:name w:val="annotation text"/>
    <w:basedOn w:val="Normal"/>
    <w:link w:val="CommentTextChar"/>
    <w:uiPriority w:val="99"/>
    <w:unhideWhenUsed/>
    <w:rsid w:val="006B1FDD"/>
    <w:pPr>
      <w:spacing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6B1FDD"/>
    <w:rPr>
      <w:rFonts w:eastAsiaTheme="minorEastAsia"/>
      <w:kern w:val="0"/>
      <w:sz w:val="20"/>
      <w:szCs w:val="20"/>
      <w:lang w:val="sq-AL"/>
      <w14:ligatures w14:val="none"/>
    </w:rPr>
  </w:style>
  <w:style w:type="paragraph" w:styleId="Footer">
    <w:name w:val="footer"/>
    <w:basedOn w:val="Normal"/>
    <w:link w:val="FooterChar"/>
    <w:uiPriority w:val="99"/>
    <w:unhideWhenUsed/>
    <w:rsid w:val="006B1FDD"/>
    <w:pPr>
      <w:tabs>
        <w:tab w:val="center" w:pos="4680"/>
        <w:tab w:val="right" w:pos="9360"/>
      </w:tabs>
      <w:spacing w:after="0" w:line="240" w:lineRule="auto"/>
    </w:pPr>
    <w:rPr>
      <w:rFonts w:eastAsiaTheme="minorEastAsia"/>
      <w:kern w:val="0"/>
      <w:sz w:val="22"/>
      <w:szCs w:val="22"/>
      <w14:ligatures w14:val="none"/>
    </w:rPr>
  </w:style>
  <w:style w:type="character" w:customStyle="1" w:styleId="FooterChar">
    <w:name w:val="Footer Char"/>
    <w:basedOn w:val="DefaultParagraphFont"/>
    <w:link w:val="Footer"/>
    <w:uiPriority w:val="99"/>
    <w:rsid w:val="006B1FDD"/>
    <w:rPr>
      <w:rFonts w:eastAsiaTheme="minorEastAsia"/>
      <w:kern w:val="0"/>
      <w:sz w:val="22"/>
      <w:szCs w:val="22"/>
      <w:lang w:val="sq-AL"/>
      <w14:ligatures w14:val="none"/>
    </w:rPr>
  </w:style>
  <w:style w:type="paragraph" w:styleId="Header">
    <w:name w:val="header"/>
    <w:basedOn w:val="Normal"/>
    <w:link w:val="HeaderChar"/>
    <w:uiPriority w:val="99"/>
    <w:unhideWhenUsed/>
    <w:rsid w:val="006B1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FDD"/>
    <w:rPr>
      <w:lang w:val="sq-AL"/>
    </w:rPr>
  </w:style>
  <w:style w:type="paragraph" w:styleId="Revision">
    <w:name w:val="Revision"/>
    <w:hidden/>
    <w:uiPriority w:val="99"/>
    <w:semiHidden/>
    <w:rsid w:val="00C020F7"/>
    <w:pPr>
      <w:spacing w:after="0" w:line="240" w:lineRule="auto"/>
    </w:pPr>
    <w:rPr>
      <w:lang w:val="sq-AL"/>
    </w:rPr>
  </w:style>
  <w:style w:type="paragraph" w:styleId="CommentSubject">
    <w:name w:val="annotation subject"/>
    <w:basedOn w:val="CommentText"/>
    <w:next w:val="CommentText"/>
    <w:link w:val="CommentSubjectChar"/>
    <w:uiPriority w:val="99"/>
    <w:semiHidden/>
    <w:unhideWhenUsed/>
    <w:rsid w:val="001F2204"/>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1F2204"/>
    <w:rPr>
      <w:rFonts w:eastAsiaTheme="minorEastAsia"/>
      <w:b/>
      <w:bCs/>
      <w:kern w:val="0"/>
      <w:sz w:val="20"/>
      <w:szCs w:val="20"/>
      <w:lang w:val="sq-AL"/>
      <w14:ligatures w14:val="none"/>
    </w:rPr>
  </w:style>
  <w:style w:type="paragraph" w:styleId="HTMLPreformatted">
    <w:name w:val="HTML Preformatted"/>
    <w:basedOn w:val="Normal"/>
    <w:link w:val="HTMLPreformattedChar"/>
    <w:uiPriority w:val="99"/>
    <w:semiHidden/>
    <w:unhideWhenUsed/>
    <w:rsid w:val="001C4D4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4D40"/>
    <w:rPr>
      <w:rFonts w:ascii="Consolas" w:hAnsi="Consolas"/>
      <w:sz w:val="20"/>
      <w:szCs w:val="20"/>
      <w:lang w:val="sq-AL"/>
    </w:rPr>
  </w:style>
  <w:style w:type="paragraph" w:customStyle="1" w:styleId="Default">
    <w:name w:val="Default"/>
    <w:uiPriority w:val="99"/>
    <w:rsid w:val="00197678"/>
    <w:pPr>
      <w:autoSpaceDE w:val="0"/>
      <w:autoSpaceDN w:val="0"/>
      <w:adjustRightInd w:val="0"/>
      <w:spacing w:after="0" w:line="240" w:lineRule="auto"/>
    </w:pPr>
    <w:rPr>
      <w:rFonts w:ascii="CG Times" w:hAnsi="CG Times" w:cs="CG Time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7812">
      <w:bodyDiv w:val="1"/>
      <w:marLeft w:val="0"/>
      <w:marRight w:val="0"/>
      <w:marTop w:val="0"/>
      <w:marBottom w:val="0"/>
      <w:divBdr>
        <w:top w:val="none" w:sz="0" w:space="0" w:color="auto"/>
        <w:left w:val="none" w:sz="0" w:space="0" w:color="auto"/>
        <w:bottom w:val="none" w:sz="0" w:space="0" w:color="auto"/>
        <w:right w:val="none" w:sz="0" w:space="0" w:color="auto"/>
      </w:divBdr>
    </w:div>
    <w:div w:id="236599118">
      <w:bodyDiv w:val="1"/>
      <w:marLeft w:val="0"/>
      <w:marRight w:val="0"/>
      <w:marTop w:val="0"/>
      <w:marBottom w:val="0"/>
      <w:divBdr>
        <w:top w:val="none" w:sz="0" w:space="0" w:color="auto"/>
        <w:left w:val="none" w:sz="0" w:space="0" w:color="auto"/>
        <w:bottom w:val="none" w:sz="0" w:space="0" w:color="auto"/>
        <w:right w:val="none" w:sz="0" w:space="0" w:color="auto"/>
      </w:divBdr>
    </w:div>
    <w:div w:id="434597973">
      <w:bodyDiv w:val="1"/>
      <w:marLeft w:val="0"/>
      <w:marRight w:val="0"/>
      <w:marTop w:val="0"/>
      <w:marBottom w:val="0"/>
      <w:divBdr>
        <w:top w:val="none" w:sz="0" w:space="0" w:color="auto"/>
        <w:left w:val="none" w:sz="0" w:space="0" w:color="auto"/>
        <w:bottom w:val="none" w:sz="0" w:space="0" w:color="auto"/>
        <w:right w:val="none" w:sz="0" w:space="0" w:color="auto"/>
      </w:divBdr>
    </w:div>
    <w:div w:id="554513233">
      <w:bodyDiv w:val="1"/>
      <w:marLeft w:val="0"/>
      <w:marRight w:val="0"/>
      <w:marTop w:val="0"/>
      <w:marBottom w:val="0"/>
      <w:divBdr>
        <w:top w:val="none" w:sz="0" w:space="0" w:color="auto"/>
        <w:left w:val="none" w:sz="0" w:space="0" w:color="auto"/>
        <w:bottom w:val="none" w:sz="0" w:space="0" w:color="auto"/>
        <w:right w:val="none" w:sz="0" w:space="0" w:color="auto"/>
      </w:divBdr>
    </w:div>
    <w:div w:id="589895883">
      <w:bodyDiv w:val="1"/>
      <w:marLeft w:val="0"/>
      <w:marRight w:val="0"/>
      <w:marTop w:val="0"/>
      <w:marBottom w:val="0"/>
      <w:divBdr>
        <w:top w:val="none" w:sz="0" w:space="0" w:color="auto"/>
        <w:left w:val="none" w:sz="0" w:space="0" w:color="auto"/>
        <w:bottom w:val="none" w:sz="0" w:space="0" w:color="auto"/>
        <w:right w:val="none" w:sz="0" w:space="0" w:color="auto"/>
      </w:divBdr>
    </w:div>
    <w:div w:id="591428893">
      <w:bodyDiv w:val="1"/>
      <w:marLeft w:val="0"/>
      <w:marRight w:val="0"/>
      <w:marTop w:val="0"/>
      <w:marBottom w:val="0"/>
      <w:divBdr>
        <w:top w:val="none" w:sz="0" w:space="0" w:color="auto"/>
        <w:left w:val="none" w:sz="0" w:space="0" w:color="auto"/>
        <w:bottom w:val="none" w:sz="0" w:space="0" w:color="auto"/>
        <w:right w:val="none" w:sz="0" w:space="0" w:color="auto"/>
      </w:divBdr>
    </w:div>
    <w:div w:id="688027064">
      <w:bodyDiv w:val="1"/>
      <w:marLeft w:val="0"/>
      <w:marRight w:val="0"/>
      <w:marTop w:val="0"/>
      <w:marBottom w:val="0"/>
      <w:divBdr>
        <w:top w:val="none" w:sz="0" w:space="0" w:color="auto"/>
        <w:left w:val="none" w:sz="0" w:space="0" w:color="auto"/>
        <w:bottom w:val="none" w:sz="0" w:space="0" w:color="auto"/>
        <w:right w:val="none" w:sz="0" w:space="0" w:color="auto"/>
      </w:divBdr>
    </w:div>
    <w:div w:id="707729140">
      <w:bodyDiv w:val="1"/>
      <w:marLeft w:val="0"/>
      <w:marRight w:val="0"/>
      <w:marTop w:val="0"/>
      <w:marBottom w:val="0"/>
      <w:divBdr>
        <w:top w:val="none" w:sz="0" w:space="0" w:color="auto"/>
        <w:left w:val="none" w:sz="0" w:space="0" w:color="auto"/>
        <w:bottom w:val="none" w:sz="0" w:space="0" w:color="auto"/>
        <w:right w:val="none" w:sz="0" w:space="0" w:color="auto"/>
      </w:divBdr>
    </w:div>
    <w:div w:id="761141937">
      <w:bodyDiv w:val="1"/>
      <w:marLeft w:val="0"/>
      <w:marRight w:val="0"/>
      <w:marTop w:val="0"/>
      <w:marBottom w:val="0"/>
      <w:divBdr>
        <w:top w:val="none" w:sz="0" w:space="0" w:color="auto"/>
        <w:left w:val="none" w:sz="0" w:space="0" w:color="auto"/>
        <w:bottom w:val="none" w:sz="0" w:space="0" w:color="auto"/>
        <w:right w:val="none" w:sz="0" w:space="0" w:color="auto"/>
      </w:divBdr>
    </w:div>
    <w:div w:id="821236318">
      <w:bodyDiv w:val="1"/>
      <w:marLeft w:val="0"/>
      <w:marRight w:val="0"/>
      <w:marTop w:val="0"/>
      <w:marBottom w:val="0"/>
      <w:divBdr>
        <w:top w:val="none" w:sz="0" w:space="0" w:color="auto"/>
        <w:left w:val="none" w:sz="0" w:space="0" w:color="auto"/>
        <w:bottom w:val="none" w:sz="0" w:space="0" w:color="auto"/>
        <w:right w:val="none" w:sz="0" w:space="0" w:color="auto"/>
      </w:divBdr>
      <w:divsChild>
        <w:div w:id="1888251642">
          <w:marLeft w:val="0"/>
          <w:marRight w:val="0"/>
          <w:marTop w:val="0"/>
          <w:marBottom w:val="0"/>
          <w:divBdr>
            <w:top w:val="none" w:sz="0" w:space="0" w:color="auto"/>
            <w:left w:val="none" w:sz="0" w:space="0" w:color="auto"/>
            <w:bottom w:val="none" w:sz="0" w:space="0" w:color="auto"/>
            <w:right w:val="none" w:sz="0" w:space="0" w:color="auto"/>
          </w:divBdr>
        </w:div>
        <w:div w:id="120194234">
          <w:marLeft w:val="0"/>
          <w:marRight w:val="0"/>
          <w:marTop w:val="0"/>
          <w:marBottom w:val="0"/>
          <w:divBdr>
            <w:top w:val="none" w:sz="0" w:space="0" w:color="auto"/>
            <w:left w:val="none" w:sz="0" w:space="0" w:color="auto"/>
            <w:bottom w:val="none" w:sz="0" w:space="0" w:color="auto"/>
            <w:right w:val="none" w:sz="0" w:space="0" w:color="auto"/>
          </w:divBdr>
        </w:div>
        <w:div w:id="1920409973">
          <w:marLeft w:val="0"/>
          <w:marRight w:val="0"/>
          <w:marTop w:val="0"/>
          <w:marBottom w:val="0"/>
          <w:divBdr>
            <w:top w:val="none" w:sz="0" w:space="0" w:color="auto"/>
            <w:left w:val="none" w:sz="0" w:space="0" w:color="auto"/>
            <w:bottom w:val="none" w:sz="0" w:space="0" w:color="auto"/>
            <w:right w:val="none" w:sz="0" w:space="0" w:color="auto"/>
          </w:divBdr>
        </w:div>
        <w:div w:id="578950897">
          <w:marLeft w:val="0"/>
          <w:marRight w:val="0"/>
          <w:marTop w:val="0"/>
          <w:marBottom w:val="0"/>
          <w:divBdr>
            <w:top w:val="none" w:sz="0" w:space="0" w:color="auto"/>
            <w:left w:val="none" w:sz="0" w:space="0" w:color="auto"/>
            <w:bottom w:val="none" w:sz="0" w:space="0" w:color="auto"/>
            <w:right w:val="none" w:sz="0" w:space="0" w:color="auto"/>
          </w:divBdr>
        </w:div>
        <w:div w:id="1757946206">
          <w:marLeft w:val="0"/>
          <w:marRight w:val="0"/>
          <w:marTop w:val="0"/>
          <w:marBottom w:val="0"/>
          <w:divBdr>
            <w:top w:val="none" w:sz="0" w:space="0" w:color="auto"/>
            <w:left w:val="none" w:sz="0" w:space="0" w:color="auto"/>
            <w:bottom w:val="none" w:sz="0" w:space="0" w:color="auto"/>
            <w:right w:val="none" w:sz="0" w:space="0" w:color="auto"/>
          </w:divBdr>
        </w:div>
        <w:div w:id="564031480">
          <w:marLeft w:val="0"/>
          <w:marRight w:val="0"/>
          <w:marTop w:val="0"/>
          <w:marBottom w:val="0"/>
          <w:divBdr>
            <w:top w:val="none" w:sz="0" w:space="0" w:color="auto"/>
            <w:left w:val="none" w:sz="0" w:space="0" w:color="auto"/>
            <w:bottom w:val="none" w:sz="0" w:space="0" w:color="auto"/>
            <w:right w:val="none" w:sz="0" w:space="0" w:color="auto"/>
          </w:divBdr>
        </w:div>
        <w:div w:id="1903783935">
          <w:marLeft w:val="0"/>
          <w:marRight w:val="0"/>
          <w:marTop w:val="0"/>
          <w:marBottom w:val="0"/>
          <w:divBdr>
            <w:top w:val="none" w:sz="0" w:space="0" w:color="auto"/>
            <w:left w:val="none" w:sz="0" w:space="0" w:color="auto"/>
            <w:bottom w:val="none" w:sz="0" w:space="0" w:color="auto"/>
            <w:right w:val="none" w:sz="0" w:space="0" w:color="auto"/>
          </w:divBdr>
        </w:div>
      </w:divsChild>
    </w:div>
    <w:div w:id="855002500">
      <w:bodyDiv w:val="1"/>
      <w:marLeft w:val="0"/>
      <w:marRight w:val="0"/>
      <w:marTop w:val="0"/>
      <w:marBottom w:val="0"/>
      <w:divBdr>
        <w:top w:val="none" w:sz="0" w:space="0" w:color="auto"/>
        <w:left w:val="none" w:sz="0" w:space="0" w:color="auto"/>
        <w:bottom w:val="none" w:sz="0" w:space="0" w:color="auto"/>
        <w:right w:val="none" w:sz="0" w:space="0" w:color="auto"/>
      </w:divBdr>
    </w:div>
    <w:div w:id="891428863">
      <w:bodyDiv w:val="1"/>
      <w:marLeft w:val="0"/>
      <w:marRight w:val="0"/>
      <w:marTop w:val="0"/>
      <w:marBottom w:val="0"/>
      <w:divBdr>
        <w:top w:val="none" w:sz="0" w:space="0" w:color="auto"/>
        <w:left w:val="none" w:sz="0" w:space="0" w:color="auto"/>
        <w:bottom w:val="none" w:sz="0" w:space="0" w:color="auto"/>
        <w:right w:val="none" w:sz="0" w:space="0" w:color="auto"/>
      </w:divBdr>
    </w:div>
    <w:div w:id="927157761">
      <w:bodyDiv w:val="1"/>
      <w:marLeft w:val="0"/>
      <w:marRight w:val="0"/>
      <w:marTop w:val="0"/>
      <w:marBottom w:val="0"/>
      <w:divBdr>
        <w:top w:val="none" w:sz="0" w:space="0" w:color="auto"/>
        <w:left w:val="none" w:sz="0" w:space="0" w:color="auto"/>
        <w:bottom w:val="none" w:sz="0" w:space="0" w:color="auto"/>
        <w:right w:val="none" w:sz="0" w:space="0" w:color="auto"/>
      </w:divBdr>
    </w:div>
    <w:div w:id="971056669">
      <w:bodyDiv w:val="1"/>
      <w:marLeft w:val="0"/>
      <w:marRight w:val="0"/>
      <w:marTop w:val="0"/>
      <w:marBottom w:val="0"/>
      <w:divBdr>
        <w:top w:val="none" w:sz="0" w:space="0" w:color="auto"/>
        <w:left w:val="none" w:sz="0" w:space="0" w:color="auto"/>
        <w:bottom w:val="none" w:sz="0" w:space="0" w:color="auto"/>
        <w:right w:val="none" w:sz="0" w:space="0" w:color="auto"/>
      </w:divBdr>
    </w:div>
    <w:div w:id="1000499949">
      <w:bodyDiv w:val="1"/>
      <w:marLeft w:val="0"/>
      <w:marRight w:val="0"/>
      <w:marTop w:val="0"/>
      <w:marBottom w:val="0"/>
      <w:divBdr>
        <w:top w:val="none" w:sz="0" w:space="0" w:color="auto"/>
        <w:left w:val="none" w:sz="0" w:space="0" w:color="auto"/>
        <w:bottom w:val="none" w:sz="0" w:space="0" w:color="auto"/>
        <w:right w:val="none" w:sz="0" w:space="0" w:color="auto"/>
      </w:divBdr>
    </w:div>
    <w:div w:id="1023480448">
      <w:bodyDiv w:val="1"/>
      <w:marLeft w:val="0"/>
      <w:marRight w:val="0"/>
      <w:marTop w:val="0"/>
      <w:marBottom w:val="0"/>
      <w:divBdr>
        <w:top w:val="none" w:sz="0" w:space="0" w:color="auto"/>
        <w:left w:val="none" w:sz="0" w:space="0" w:color="auto"/>
        <w:bottom w:val="none" w:sz="0" w:space="0" w:color="auto"/>
        <w:right w:val="none" w:sz="0" w:space="0" w:color="auto"/>
      </w:divBdr>
    </w:div>
    <w:div w:id="1058675466">
      <w:bodyDiv w:val="1"/>
      <w:marLeft w:val="0"/>
      <w:marRight w:val="0"/>
      <w:marTop w:val="0"/>
      <w:marBottom w:val="0"/>
      <w:divBdr>
        <w:top w:val="none" w:sz="0" w:space="0" w:color="auto"/>
        <w:left w:val="none" w:sz="0" w:space="0" w:color="auto"/>
        <w:bottom w:val="none" w:sz="0" w:space="0" w:color="auto"/>
        <w:right w:val="none" w:sz="0" w:space="0" w:color="auto"/>
      </w:divBdr>
    </w:div>
    <w:div w:id="1131822675">
      <w:bodyDiv w:val="1"/>
      <w:marLeft w:val="0"/>
      <w:marRight w:val="0"/>
      <w:marTop w:val="0"/>
      <w:marBottom w:val="0"/>
      <w:divBdr>
        <w:top w:val="none" w:sz="0" w:space="0" w:color="auto"/>
        <w:left w:val="none" w:sz="0" w:space="0" w:color="auto"/>
        <w:bottom w:val="none" w:sz="0" w:space="0" w:color="auto"/>
        <w:right w:val="none" w:sz="0" w:space="0" w:color="auto"/>
      </w:divBdr>
    </w:div>
    <w:div w:id="1146581725">
      <w:bodyDiv w:val="1"/>
      <w:marLeft w:val="0"/>
      <w:marRight w:val="0"/>
      <w:marTop w:val="0"/>
      <w:marBottom w:val="0"/>
      <w:divBdr>
        <w:top w:val="none" w:sz="0" w:space="0" w:color="auto"/>
        <w:left w:val="none" w:sz="0" w:space="0" w:color="auto"/>
        <w:bottom w:val="none" w:sz="0" w:space="0" w:color="auto"/>
        <w:right w:val="none" w:sz="0" w:space="0" w:color="auto"/>
      </w:divBdr>
    </w:div>
    <w:div w:id="1542523234">
      <w:bodyDiv w:val="1"/>
      <w:marLeft w:val="0"/>
      <w:marRight w:val="0"/>
      <w:marTop w:val="0"/>
      <w:marBottom w:val="0"/>
      <w:divBdr>
        <w:top w:val="none" w:sz="0" w:space="0" w:color="auto"/>
        <w:left w:val="none" w:sz="0" w:space="0" w:color="auto"/>
        <w:bottom w:val="none" w:sz="0" w:space="0" w:color="auto"/>
        <w:right w:val="none" w:sz="0" w:space="0" w:color="auto"/>
      </w:divBdr>
    </w:div>
    <w:div w:id="1568762788">
      <w:bodyDiv w:val="1"/>
      <w:marLeft w:val="0"/>
      <w:marRight w:val="0"/>
      <w:marTop w:val="0"/>
      <w:marBottom w:val="0"/>
      <w:divBdr>
        <w:top w:val="none" w:sz="0" w:space="0" w:color="auto"/>
        <w:left w:val="none" w:sz="0" w:space="0" w:color="auto"/>
        <w:bottom w:val="none" w:sz="0" w:space="0" w:color="auto"/>
        <w:right w:val="none" w:sz="0" w:space="0" w:color="auto"/>
      </w:divBdr>
      <w:divsChild>
        <w:div w:id="1572042897">
          <w:marLeft w:val="0"/>
          <w:marRight w:val="0"/>
          <w:marTop w:val="0"/>
          <w:marBottom w:val="0"/>
          <w:divBdr>
            <w:top w:val="none" w:sz="0" w:space="0" w:color="auto"/>
            <w:left w:val="none" w:sz="0" w:space="0" w:color="auto"/>
            <w:bottom w:val="none" w:sz="0" w:space="0" w:color="auto"/>
            <w:right w:val="none" w:sz="0" w:space="0" w:color="auto"/>
          </w:divBdr>
        </w:div>
        <w:div w:id="39408048">
          <w:marLeft w:val="0"/>
          <w:marRight w:val="0"/>
          <w:marTop w:val="0"/>
          <w:marBottom w:val="0"/>
          <w:divBdr>
            <w:top w:val="none" w:sz="0" w:space="0" w:color="auto"/>
            <w:left w:val="none" w:sz="0" w:space="0" w:color="auto"/>
            <w:bottom w:val="none" w:sz="0" w:space="0" w:color="auto"/>
            <w:right w:val="none" w:sz="0" w:space="0" w:color="auto"/>
          </w:divBdr>
        </w:div>
        <w:div w:id="611089117">
          <w:marLeft w:val="0"/>
          <w:marRight w:val="0"/>
          <w:marTop w:val="0"/>
          <w:marBottom w:val="0"/>
          <w:divBdr>
            <w:top w:val="none" w:sz="0" w:space="0" w:color="auto"/>
            <w:left w:val="none" w:sz="0" w:space="0" w:color="auto"/>
            <w:bottom w:val="none" w:sz="0" w:space="0" w:color="auto"/>
            <w:right w:val="none" w:sz="0" w:space="0" w:color="auto"/>
          </w:divBdr>
        </w:div>
        <w:div w:id="1964117437">
          <w:marLeft w:val="0"/>
          <w:marRight w:val="0"/>
          <w:marTop w:val="0"/>
          <w:marBottom w:val="0"/>
          <w:divBdr>
            <w:top w:val="none" w:sz="0" w:space="0" w:color="auto"/>
            <w:left w:val="none" w:sz="0" w:space="0" w:color="auto"/>
            <w:bottom w:val="none" w:sz="0" w:space="0" w:color="auto"/>
            <w:right w:val="none" w:sz="0" w:space="0" w:color="auto"/>
          </w:divBdr>
        </w:div>
        <w:div w:id="776868846">
          <w:marLeft w:val="0"/>
          <w:marRight w:val="0"/>
          <w:marTop w:val="0"/>
          <w:marBottom w:val="0"/>
          <w:divBdr>
            <w:top w:val="none" w:sz="0" w:space="0" w:color="auto"/>
            <w:left w:val="none" w:sz="0" w:space="0" w:color="auto"/>
            <w:bottom w:val="none" w:sz="0" w:space="0" w:color="auto"/>
            <w:right w:val="none" w:sz="0" w:space="0" w:color="auto"/>
          </w:divBdr>
        </w:div>
        <w:div w:id="1930196618">
          <w:marLeft w:val="0"/>
          <w:marRight w:val="0"/>
          <w:marTop w:val="0"/>
          <w:marBottom w:val="0"/>
          <w:divBdr>
            <w:top w:val="none" w:sz="0" w:space="0" w:color="auto"/>
            <w:left w:val="none" w:sz="0" w:space="0" w:color="auto"/>
            <w:bottom w:val="none" w:sz="0" w:space="0" w:color="auto"/>
            <w:right w:val="none" w:sz="0" w:space="0" w:color="auto"/>
          </w:divBdr>
        </w:div>
        <w:div w:id="573927581">
          <w:marLeft w:val="0"/>
          <w:marRight w:val="0"/>
          <w:marTop w:val="0"/>
          <w:marBottom w:val="0"/>
          <w:divBdr>
            <w:top w:val="none" w:sz="0" w:space="0" w:color="auto"/>
            <w:left w:val="none" w:sz="0" w:space="0" w:color="auto"/>
            <w:bottom w:val="none" w:sz="0" w:space="0" w:color="auto"/>
            <w:right w:val="none" w:sz="0" w:space="0" w:color="auto"/>
          </w:divBdr>
        </w:div>
      </w:divsChild>
    </w:div>
    <w:div w:id="1569149290">
      <w:bodyDiv w:val="1"/>
      <w:marLeft w:val="0"/>
      <w:marRight w:val="0"/>
      <w:marTop w:val="0"/>
      <w:marBottom w:val="0"/>
      <w:divBdr>
        <w:top w:val="none" w:sz="0" w:space="0" w:color="auto"/>
        <w:left w:val="none" w:sz="0" w:space="0" w:color="auto"/>
        <w:bottom w:val="none" w:sz="0" w:space="0" w:color="auto"/>
        <w:right w:val="none" w:sz="0" w:space="0" w:color="auto"/>
      </w:divBdr>
    </w:div>
    <w:div w:id="1610359536">
      <w:bodyDiv w:val="1"/>
      <w:marLeft w:val="0"/>
      <w:marRight w:val="0"/>
      <w:marTop w:val="0"/>
      <w:marBottom w:val="0"/>
      <w:divBdr>
        <w:top w:val="none" w:sz="0" w:space="0" w:color="auto"/>
        <w:left w:val="none" w:sz="0" w:space="0" w:color="auto"/>
        <w:bottom w:val="none" w:sz="0" w:space="0" w:color="auto"/>
        <w:right w:val="none" w:sz="0" w:space="0" w:color="auto"/>
      </w:divBdr>
    </w:div>
    <w:div w:id="1643341682">
      <w:bodyDiv w:val="1"/>
      <w:marLeft w:val="0"/>
      <w:marRight w:val="0"/>
      <w:marTop w:val="0"/>
      <w:marBottom w:val="0"/>
      <w:divBdr>
        <w:top w:val="none" w:sz="0" w:space="0" w:color="auto"/>
        <w:left w:val="none" w:sz="0" w:space="0" w:color="auto"/>
        <w:bottom w:val="none" w:sz="0" w:space="0" w:color="auto"/>
        <w:right w:val="none" w:sz="0" w:space="0" w:color="auto"/>
      </w:divBdr>
    </w:div>
    <w:div w:id="1670135338">
      <w:bodyDiv w:val="1"/>
      <w:marLeft w:val="0"/>
      <w:marRight w:val="0"/>
      <w:marTop w:val="0"/>
      <w:marBottom w:val="0"/>
      <w:divBdr>
        <w:top w:val="none" w:sz="0" w:space="0" w:color="auto"/>
        <w:left w:val="none" w:sz="0" w:space="0" w:color="auto"/>
        <w:bottom w:val="none" w:sz="0" w:space="0" w:color="auto"/>
        <w:right w:val="none" w:sz="0" w:space="0" w:color="auto"/>
      </w:divBdr>
    </w:div>
    <w:div w:id="1898935152">
      <w:bodyDiv w:val="1"/>
      <w:marLeft w:val="0"/>
      <w:marRight w:val="0"/>
      <w:marTop w:val="0"/>
      <w:marBottom w:val="0"/>
      <w:divBdr>
        <w:top w:val="none" w:sz="0" w:space="0" w:color="auto"/>
        <w:left w:val="none" w:sz="0" w:space="0" w:color="auto"/>
        <w:bottom w:val="none" w:sz="0" w:space="0" w:color="auto"/>
        <w:right w:val="none" w:sz="0" w:space="0" w:color="auto"/>
      </w:divBdr>
    </w:div>
    <w:div w:id="1938515599">
      <w:bodyDiv w:val="1"/>
      <w:marLeft w:val="0"/>
      <w:marRight w:val="0"/>
      <w:marTop w:val="0"/>
      <w:marBottom w:val="0"/>
      <w:divBdr>
        <w:top w:val="none" w:sz="0" w:space="0" w:color="auto"/>
        <w:left w:val="none" w:sz="0" w:space="0" w:color="auto"/>
        <w:bottom w:val="none" w:sz="0" w:space="0" w:color="auto"/>
        <w:right w:val="none" w:sz="0" w:space="0" w:color="auto"/>
      </w:divBdr>
    </w:div>
    <w:div w:id="2131976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13214</Words>
  <Characters>75326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Drejtoria Juridike</cp:lastModifiedBy>
  <cp:revision>2</cp:revision>
  <dcterms:created xsi:type="dcterms:W3CDTF">2025-11-27T06:54:00Z</dcterms:created>
  <dcterms:modified xsi:type="dcterms:W3CDTF">2025-11-27T06:54:00Z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1173505113</vt:i4>
  </property>
</Properties>
</file>