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pPr>
      <w:r>
        <w:t xml:space="preserve"/>
      </w:r>
    </w:p>
    <w:p>
      <w:pPr>
        <w:spacing w:after="40"/>
        <w:jc w:val="center"/>
      </w:pPr>
      <w:r>
        <w:rPr>
          <w:b/>
          <w:bCs/>
          <w:color w:val="111827"/>
          <w:sz w:val="36"/>
          <w:szCs w:val="36"/>
        </w:rPr>
        <w:t xml:space="preserve">“[EMRI I SHOQËRISË]” shpk</w:t>
      </w:r>
    </w:p>
    <w:p>
      <w:pPr>
        <w:spacing w:after="600"/>
        <w:jc w:val="center"/>
      </w:pPr>
      <w:r>
        <w:rPr>
          <w:i/>
          <w:iCs/>
          <w:color w:val="374151"/>
          <w:sz w:val="24"/>
          <w:szCs w:val="24"/>
        </w:rPr>
        <w:t xml:space="preserve">(Shoqëri në Likuidim)</w:t>
      </w:r>
    </w:p>
    <w:p>
      <w:pPr>
        <w:spacing w:after="40"/>
        <w:jc w:val="center"/>
      </w:pPr>
      <w:r>
        <w:rPr>
          <w:b/>
          <w:bCs/>
          <w:color w:val="1e3a8a"/>
          <w:sz w:val="30"/>
          <w:szCs w:val="30"/>
        </w:rPr>
        <w:t xml:space="preserve">Pasqyrat Financiare</w:t>
      </w:r>
    </w:p>
    <w:p>
      <w:pPr>
        <w:spacing w:after="600"/>
        <w:jc w:val="center"/>
      </w:pPr>
      <w:r>
        <w:rPr>
          <w:color w:val="374151"/>
          <w:sz w:val="24"/>
          <w:szCs w:val="24"/>
        </w:rPr>
        <w:t xml:space="preserve">(Bilanci i mbylljes së likuidimit)</w:t>
      </w:r>
    </w:p>
    <w:p>
      <w:pPr>
        <w:spacing w:after="800"/>
        <w:jc w:val="center"/>
      </w:pPr>
      <w:r>
        <w:rPr>
          <w:color w:val="111827"/>
          <w:sz w:val="24"/>
          <w:szCs w:val="24"/>
        </w:rPr>
        <w:t xml:space="preserve">në datë 30.Shtator.2024</w:t>
      </w:r>
    </w:p>
    <w:p>
      <w:pPr>
        <w:pBdr>
          <w:top w:val="single" w:color="1e3a8a" w:sz="12" w:space="6"/>
          <w:bottom w:val="single" w:color="1e3a8a" w:sz="12" w:space="6"/>
        </w:pBdr>
        <w:shd w:fill="f3f4f6" w:color="auto" w:val="clear"/>
        <w:spacing w:after="200" w:before="200" w:line="280"/>
      </w:pPr>
      <w:r>
        <w:rPr>
          <w:b/>
          <w:bCs/>
          <w:color w:val="1e3a8a"/>
          <w:sz w:val="18"/>
          <w:szCs w:val="18"/>
        </w:rPr>
        <w:t xml:space="preserve">MODEL ORIENTUES · </w:t>
      </w:r>
      <w:r>
        <w:rPr>
          <w:color w:val="374151"/>
          <w:sz w:val="18"/>
          <w:szCs w:val="18"/>
        </w:rPr>
        <w:t xml:space="preserve">Ky dokument është një model i përgatitur nga AlProfit Consult. Emri i shoqërisë, NIPT-i, adresat dhe emrat janë zëvendësuar me hapësira në kllapa katrore, ndërsa shifrat janë ilustruese dhe shërbejnë vetëm për të treguar strukturën. Përshtateni sipas rastit konkret. Ai nuk zëvendëson konsulencën profesionale për situata të veçanta.</w:t>
      </w:r>
    </w:p>
    <w:p>
      <w:r>
        <w:br w:type="page"/>
      </w:r>
    </w:p>
    <w:p>
      <w:pPr>
        <w:spacing w:after="120" w:before="240" w:line="300"/>
      </w:pPr>
      <w:r>
        <w:rPr>
          <w:b/>
          <w:bCs/>
          <w:color w:val="111827"/>
          <w:sz w:val="24"/>
          <w:szCs w:val="24"/>
        </w:rPr>
        <w:t xml:space="preserve">Përmbajtja</w:t>
      </w:r>
    </w:p>
    <w:p>
      <w:pPr>
        <w:spacing w:after="160" w:before="0" w:line="300"/>
        <w:jc w:val="both"/>
      </w:pPr>
      <w:r>
        <w:t xml:space="preserve">Pasqyra e performancës</w:t>
      </w:r>
    </w:p>
    <w:p>
      <w:pPr>
        <w:spacing w:after="160" w:before="0" w:line="300"/>
        <w:jc w:val="both"/>
      </w:pPr>
      <w:r>
        <w:t xml:space="preserve">Pasqyra e pozicionit financiar</w:t>
      </w:r>
    </w:p>
    <w:p>
      <w:pPr>
        <w:spacing w:after="160" w:before="0" w:line="300"/>
        <w:jc w:val="both"/>
      </w:pPr>
      <w:r>
        <w:t xml:space="preserve">Pasqyra e ndryshimeve në kapitalin neto</w:t>
      </w:r>
    </w:p>
    <w:p>
      <w:pPr>
        <w:spacing w:after="160" w:before="0" w:line="300"/>
        <w:jc w:val="both"/>
      </w:pPr>
      <w:r>
        <w:t xml:space="preserve">Pasqyra e fluksit të mjeteve monetare</w:t>
      </w:r>
    </w:p>
    <w:p>
      <w:pPr>
        <w:spacing w:after="160" w:before="0" w:line="300"/>
        <w:jc w:val="both"/>
      </w:pPr>
      <w:r>
        <w:t xml:space="preserve">Politikat kontabël dhe shënimet shpjeguese</w:t>
      </w:r>
    </w:p>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performancës</w:t>
      </w:r>
    </w:p>
    <w:p>
      <w:pPr>
        <w:spacing w:after="200" w:before="0" w:line="300"/>
        <w:jc w:val="both"/>
      </w:pPr>
      <w:r>
        <w:rPr>
          <w:color w:val="374151"/>
        </w:rPr>
        <w:t xml:space="preserve">Për periudhën që mbyllet në datë 30.Shtator.2024.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26"/>
        <w:gridCol w:w="800"/>
        <w:gridCol w:w="1533"/>
        <w:gridCol w:w="1533"/>
        <w:gridCol w:w="1534"/>
      </w:tblGrid>
      <w:tr>
        <w:trPr>
          <w:tblHeader/>
        </w:trPr>
        <w:tc>
          <w:tcPr>
            <w:tcW w:type="dxa" w:w="3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30.09.2024</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c>
          <w:tcPr>
            <w:tcW w:type="dxa" w:w="1534"/>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31.12.2023</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Të ardhura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Ofrim shërbimesh</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3</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të ardhura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80,000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Shpenzime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personelit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4</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(60,000)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(90,000)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(150,000)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tjera shfrytëzimi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5</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(45,000)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(12,000)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shpenzime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(105,000)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(98,000)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(162,000)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Rezultati nga veprimtaria kryesore (i - ii)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(25,000)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102,000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138,000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iii. Shpenzime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shpenzime financiare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Rezultati para tatimit (i - ii +/-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135,000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Shpenzimi i tatimit të thjeshtuar mbi fitimin</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Rezultati neto i periudhës</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135,000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pozicionit financiar</w:t>
      </w:r>
    </w:p>
    <w:p>
      <w:pPr>
        <w:spacing w:after="200" w:before="0" w:line="300"/>
        <w:jc w:val="both"/>
      </w:pPr>
      <w:r>
        <w:rPr>
          <w:color w:val="374151"/>
        </w:rPr>
        <w:t xml:space="preserve">në datë 30.Shtator.2024.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26"/>
        <w:gridCol w:w="800"/>
        <w:gridCol w:w="1533"/>
        <w:gridCol w:w="1533"/>
        <w:gridCol w:w="1534"/>
      </w:tblGrid>
      <w:tr>
        <w:trPr>
          <w:tblHeader/>
        </w:trPr>
        <w:tc>
          <w:tcPr>
            <w:tcW w:type="dxa" w:w="3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30.09.2024</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c>
          <w:tcPr>
            <w:tcW w:type="dxa" w:w="1534"/>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31.12.2023</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AKTIVET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Aktivet Afatshkurtra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Mjetet monetare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Llogari të arkëtueshme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8</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tjera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aktive afatshkurtra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310,000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Aktive</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305,000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310,000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DETYRIME DHE KAPITALI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Detyrimet Afatshkurtra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Llogari të pagueshme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Detyrime ndaj punonjësve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11</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Detyrime tatimore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12</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detyrime afatshkurtra (i)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65,000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75,000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Detyrime</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65,000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75,000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Kapitali dhe Rezervat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Kapitali ligjor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Fitime të mbartura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13</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235,000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 kapitali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305,000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335,000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235,000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Total Detyrime dhe Kapitali (i + ii)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305,000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400,000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310,000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ndryshimeve në kapitalin neto</w:t>
      </w:r>
    </w:p>
    <w:p>
      <w:pPr>
        <w:spacing w:after="200" w:before="0" w:line="300"/>
        <w:jc w:val="both"/>
      </w:pPr>
      <w:r>
        <w:rPr>
          <w:color w:val="374151"/>
        </w:rPr>
        <w:t xml:space="preserve">Për periudhën që mbyllet në datë 30.Shtator.2024.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26"/>
        <w:gridCol w:w="800"/>
        <w:gridCol w:w="1533"/>
        <w:gridCol w:w="1533"/>
        <w:gridCol w:w="1534"/>
      </w:tblGrid>
      <w:tr>
        <w:trPr>
          <w:tblHeader/>
        </w:trPr>
        <w:tc>
          <w:tcPr>
            <w:tcW w:type="dxa" w:w="3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Kapitali ligjor</w:t>
            </w:r>
          </w:p>
        </w:tc>
        <w:tc>
          <w:tcPr>
            <w:tcW w:type="dxa" w:w="1533"/>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Rezultati i pacaktuar</w:t>
            </w:r>
          </w:p>
        </w:tc>
        <w:tc>
          <w:tcPr>
            <w:tcW w:type="dxa" w:w="1534"/>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Totali</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15.Janar.2023</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Krijimi i kapitalit ligjor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9</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135,000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31.Dhjetor.2023</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135,000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235,000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30.Prill.2024</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235,000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335,000</w:t>
            </w:r>
          </w:p>
        </w:tc>
      </w:tr>
      <w:tr>
        <w:tc>
          <w:tcPr>
            <w:tcW w:type="dxa" w:w="3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i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6</w:t>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1534"/>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r>
      <w:tr>
        <w:tc>
          <w:tcPr>
            <w:tcW w:type="dxa" w:w="3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30.Shtator.2024</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100,000</w:t>
            </w:r>
          </w:p>
        </w:tc>
        <w:tc>
          <w:tcPr>
            <w:tcW w:type="dxa" w:w="1533"/>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205,000</w:t>
            </w:r>
          </w:p>
        </w:tc>
        <w:tc>
          <w:tcPr>
            <w:tcW w:type="dxa" w:w="1534"/>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305,000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Pasqyra e fluksit të mjeteve monetare</w:t>
      </w:r>
    </w:p>
    <w:p>
      <w:pPr>
        <w:spacing w:after="200" w:before="0" w:line="300"/>
        <w:jc w:val="both"/>
      </w:pPr>
      <w:r>
        <w:rPr>
          <w:color w:val="374151"/>
        </w:rPr>
        <w:t xml:space="preserve">Për periudhën që mbyllet në datë 30.Shtator.2024.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800"/>
        <w:gridCol w:w="1800"/>
        <w:gridCol w:w="18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Shënime</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30.09.2024</w:t>
            </w:r>
          </w:p>
        </w:tc>
        <w:tc>
          <w:tcPr>
            <w:tcW w:type="dxa" w:w="18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e mbyllur 30.04.2024</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 Fluksi monetar nga veprimtaritë e shfrytëzimit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arkëtuara nga veprimtaria</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130,000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202,000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Të paguara për detyrimet dhe punonjësit</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(170,000)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Interesi i paguar</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e shfrytëzimit (i)</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(45,000)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170,000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 Fluksi monetar nga veprimtaritë investuese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investuese (ii)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iii. Fluksi monetar nga veprimtaritë financiare</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Mjetet monetare nga veprimtaritë financiare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Rënia neto e mjeteve monetare (i + ii + iii)</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(45,000)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170,000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Mjetet monetare në fillim të periudhës</w:t>
            </w:r>
          </w:p>
        </w:tc>
        <w:tc>
          <w:tcPr>
            <w:tcW w:type="dxa" w:w="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250,000</w:t>
            </w:r>
          </w:p>
        </w:tc>
        <w:tc>
          <w:tcPr>
            <w:tcW w:type="dxa" w:w="18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80,000</w:t>
            </w:r>
          </w:p>
        </w:tc>
      </w:tr>
      <w:tr>
        <w:tc>
          <w:tcPr>
            <w:tcW w:type="dxa" w:w="4626"/>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left"/>
            </w:pPr>
            <w:r>
              <w:rPr>
                <w:b/>
                <w:bCs/>
                <w:color w:val="202124"/>
                <w:sz w:val="19"/>
                <w:szCs w:val="19"/>
              </w:rPr>
              <w:t xml:space="preserve">Mjetet monetare në fund të periudhës</w:t>
            </w:r>
          </w:p>
        </w:tc>
        <w:tc>
          <w:tcPr>
            <w:tcW w:type="dxa" w:w="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center"/>
            </w:pPr>
            <w:r>
              <w:rPr>
                <w:b w:val="false"/>
                <w:bCs w:val="false"/>
                <w:color w:val="202124"/>
                <w:sz w:val="19"/>
                <w:szCs w:val="19"/>
              </w:rPr>
              <w:t xml:space="preserve">7</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205,000</w:t>
            </w:r>
          </w:p>
        </w:tc>
        <w:tc>
          <w:tcPr>
            <w:tcW w:type="dxa" w:w="1800"/>
            <w:tcBorders>
              <w:top w:val="single" w:color="d1d5db" w:sz="1"/>
              <w:left w:val="single" w:color="d1d5db" w:sz="1"/>
              <w:bottom w:val="single" w:color="d1d5db" w:sz="1"/>
              <w:right w:val="single" w:color="d1d5db" w:sz="1"/>
            </w:tcBorders>
            <w:shd w:fill="f6f8fb" w:color="auto" w:val="clear"/>
            <w:tcMar>
              <w:top w:type="dxa" w:w="50"/>
              <w:left w:type="dxa" w:w="110"/>
              <w:bottom w:type="dxa" w:w="50"/>
              <w:right w:type="dxa" w:w="110"/>
            </w:tcMar>
            <w:vAlign w:val="center"/>
          </w:tcPr>
          <w:p>
            <w:pPr>
              <w:spacing w:line="264"/>
              <w:jc w:val="right"/>
            </w:pPr>
            <w:r>
              <w:rPr>
                <w:b/>
                <w:bCs/>
                <w:color w:val="202124"/>
                <w:sz w:val="19"/>
                <w:szCs w:val="19"/>
              </w:rPr>
              <w:t xml:space="preserve">250,000</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Kontabilisti</w:t>
            </w:r>
          </w:p>
        </w:tc>
        <w:tc>
          <w:tcPr>
            <w:tcW w:type="dxa" w:w="4513"/>
            <w:tcBorders>
              <w:top w:val="none"/>
              <w:left w:val="none"/>
              <w:bottom w:val="none"/>
              <w:right w:val="none"/>
            </w:tcBorders>
          </w:tcPr>
          <w:p>
            <w:pPr>
              <w:spacing w:after="40" w:before="480"/>
            </w:pPr>
            <w:r>
              <w:t xml:space="preserve">_______________________________</w:t>
            </w:r>
          </w:p>
          <w:p>
            <w:r>
              <w:t xml:space="preserve">[Emër Mbiemër]</w:t>
            </w:r>
          </w:p>
          <w:p>
            <w:r>
              <w:rPr>
                <w:color w:val="374151"/>
              </w:rPr>
              <w:t xml:space="preserve">Likuiduesi</w:t>
            </w:r>
          </w:p>
        </w:tc>
      </w:tr>
    </w:tbl>
    <w:p>
      <w:r>
        <w:br w:type="page"/>
      </w:r>
    </w:p>
    <w:p>
      <w:pPr>
        <w:spacing w:after="200"/>
      </w:pPr>
      <w:r>
        <w:rPr>
          <w:b/>
          <w:bCs/>
          <w:color w:val="374151"/>
          <w:sz w:val="20"/>
          <w:szCs w:val="20"/>
        </w:rPr>
        <w:t xml:space="preserve">“[EMRI I SHOQËRISË]” shpk  (Shoqëri në Likuidim)</w:t>
      </w:r>
    </w:p>
    <w:p>
      <w:pPr>
        <w:spacing w:after="120" w:before="240" w:line="300"/>
      </w:pPr>
      <w:r>
        <w:rPr>
          <w:b/>
          <w:bCs/>
          <w:color w:val="111827"/>
          <w:sz w:val="24"/>
          <w:szCs w:val="24"/>
        </w:rPr>
        <w:t xml:space="preserve">Politikat kontabël dhe shënimet shpjeguese në pasqyrat financiare</w:t>
      </w:r>
    </w:p>
    <w:p>
      <w:pPr>
        <w:spacing w:after="200" w:before="0" w:line="300"/>
        <w:jc w:val="both"/>
      </w:pPr>
      <w:r>
        <w:rPr>
          <w:i/>
          <w:iCs/>
          <w:color w:val="374151"/>
        </w:rPr>
        <w:t xml:space="preserve">(Të gjitha shumat në Lekë, përveç kur është cilësuar ndryshe)</w:t>
      </w:r>
    </w:p>
    <w:p>
      <w:pPr>
        <w:spacing w:after="120" w:before="240" w:line="300"/>
      </w:pPr>
      <w:r>
        <w:rPr>
          <w:b/>
          <w:bCs/>
          <w:color w:val="111827"/>
          <w:sz w:val="22"/>
          <w:szCs w:val="22"/>
        </w:rPr>
        <w:t xml:space="preserve">1.  Informacion i përgjithshëm</w:t>
      </w:r>
    </w:p>
    <w:p>
      <w:pPr>
        <w:spacing w:after="160" w:before="0" w:line="300"/>
        <w:jc w:val="both"/>
      </w:pPr>
      <w:r>
        <w:t xml:space="preserve">Shoqëria “[EMRI I SHOQËRISË]” shpk është krijuar si person juridik në datë [dd.mm.vvvv], me numër unik identifikimi [__________]. Kapitali i nënshkruar i shoqërisë është 100,000 Lekë, me ortak të vetëm [EMRI I ORTAKUT]. Kapitali ligjor nuk ka ndryshuar nga regjistrimi fillestar.</w:t>
      </w:r>
    </w:p>
    <w:p>
      <w:pPr>
        <w:spacing w:after="160" w:before="0" w:line="300"/>
        <w:jc w:val="both"/>
      </w:pPr>
      <w:r>
        <w:t xml:space="preserve">Adresa e regjistruar dhe vendndodhja e aktivitetit është në [adresa e plotë, qyteti]. Veprimtaria e shoqërisë rregullohet sipas dispozitave përkatëse të Ligjit nr. 9901, datë 14.04.2008 “Për tregtarët dhe shoqëritë tregtare”, dhe legjislacionit shqiptar në fuqi. Me vendimin e asamblesë së ortakëve, shoqëria ka hyrë në procesin e likuidimit dhe administrimi i saj kalon te likuiduesi i emëruar.</w:t>
      </w:r>
    </w:p>
    <w:p>
      <w:pPr>
        <w:spacing w:after="120" w:before="240" w:line="300"/>
      </w:pPr>
      <w:r>
        <w:rPr>
          <w:b/>
          <w:bCs/>
          <w:color w:val="111827"/>
          <w:sz w:val="22"/>
          <w:szCs w:val="22"/>
        </w:rPr>
        <w:t xml:space="preserve">2.  Baza e përgatitjes dhe politikat kontabël</w:t>
      </w:r>
    </w:p>
    <w:p>
      <w:pPr>
        <w:spacing w:after="160" w:before="0" w:line="300"/>
        <w:jc w:val="both"/>
      </w:pPr>
      <w:r>
        <w:t xml:space="preserve">Këto pasqyra financiare janë përgatitur në përputhje me Standardet Kombëtare të Kontabilitetit (SKK) të publikuara nga Këshilli Kombëtar i Kontabilitetit. Në rastet kur SKK nuk parashikojnë çështje të veçanta, janë zbatuar parashikimet e Standardit Ndërkombëtar të Raportimit Financiar për njësitë ekonomike të vogla dhe të mesme. Pasqyrat paraqiten në Lekë.</w:t>
      </w:r>
    </w:p>
    <w:p>
      <w:pPr>
        <w:spacing w:after="160" w:before="0" w:line="300"/>
        <w:jc w:val="both"/>
      </w:pPr>
      <w:r>
        <w:t xml:space="preserve">Përgatitja e pasqyrave financiare kërkon që drejtimi të kryejë gjykime, vlerësime dhe supozime që ndikojnë në aplikimin e politikave dhe në shumat e raportuara të aktiveve, detyrimeve, të ardhurave dhe shpenzimeve. Rezultatet aktuale mund të jenë të ndryshme nga vlerësimet.</w:t>
      </w:r>
    </w:p>
    <w:p>
      <w:pPr>
        <w:spacing w:after="160" w:before="0" w:line="300"/>
        <w:jc w:val="both"/>
      </w:pPr>
      <w:r>
        <w:t xml:space="preserve">Të ardhurat maten me vlerën e drejtë të shumës së arkëtuar ose të arkëtueshme, neto nga skontimet dhe taksat përkatëse të shitjes. Instrumentet financiare përfshijnë llogaritë bankare, paranë në dorë, llogaritë e arkëtueshme, parapagimet dhe llogaritë e pagueshme, dhe njihen me kosto. Shpenzimi i tatimit mbi të ardhurat paraqet shumën e tatimit aktualisht të pagueshëm, bazuar në fitimin e tatueshëm për periudhën.</w:t>
      </w:r>
    </w:p>
    <w:p>
      <w:pPr>
        <w:spacing w:after="120" w:before="240" w:line="300"/>
      </w:pPr>
      <w:r>
        <w:rPr>
          <w:b/>
          <w:bCs/>
          <w:color w:val="111827"/>
          <w:sz w:val="22"/>
          <w:szCs w:val="22"/>
        </w:rPr>
        <w:t xml:space="preserve">3.  Të ardhura nga ofrimi i shërbimeve</w:t>
      </w:r>
    </w:p>
    <w:p>
      <w:pPr>
        <w:spacing w:after="160" w:before="0" w:line="300"/>
        <w:jc w:val="both"/>
      </w:pPr>
      <w:r>
        <w:t xml:space="preserve">Në këtë post paraqiten të ardhurat nga ofrimi i shërbimeve, në shumën 80,000 Lekë. Të ardhurat janë njohur në momentin e faturimit, pavarësisht arkëtimit të tyre.</w:t>
      </w:r>
    </w:p>
    <w:p>
      <w:pPr>
        <w:spacing w:after="120" w:before="240" w:line="300"/>
      </w:pPr>
      <w:r>
        <w:rPr>
          <w:b/>
          <w:bCs/>
          <w:color w:val="111827"/>
          <w:sz w:val="22"/>
          <w:szCs w:val="22"/>
        </w:rPr>
        <w:t xml:space="preserve">4.  Shpenzime të personelit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30.09.2024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Paga personeli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45,000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70,000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sigurime shoqërore e shëndetësore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15,000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20,000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60,000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90,000</w:t>
            </w:r>
          </w:p>
        </w:tc>
      </w:tr>
    </w:tbl>
    <w:p>
      <w:pPr>
        <w:spacing w:after="160" w:before="120" w:line="300"/>
        <w:jc w:val="both"/>
      </w:pPr>
      <w:r>
        <w:t xml:space="preserve">Numri mesatar i punonjësve gjatë periudhës raportuese është 1. Në mbyllje të pasqyrave financiare shoqëria nuk ka detyrime të papaguara ndaj punonjësve.</w:t>
      </w:r>
    </w:p>
    <w:p>
      <w:pPr>
        <w:spacing w:after="120" w:before="240" w:line="300"/>
      </w:pPr>
      <w:r>
        <w:rPr>
          <w:b/>
          <w:bCs/>
          <w:color w:val="111827"/>
          <w:sz w:val="22"/>
          <w:szCs w:val="22"/>
        </w:rPr>
        <w:t xml:space="preserve">5.  Shpenzime të tjera shfrytëzimi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30.09.2024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Shërbime bankare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Shpenzime të procesit të likuidimit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40,000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5,000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Totali</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45,000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8,000</w:t>
            </w:r>
          </w:p>
        </w:tc>
      </w:tr>
    </w:tbl>
    <w:p>
      <w:pPr>
        <w:spacing w:after="120" w:before="240" w:line="300"/>
      </w:pPr>
      <w:r>
        <w:rPr>
          <w:b/>
          <w:bCs/>
          <w:color w:val="111827"/>
          <w:sz w:val="22"/>
          <w:szCs w:val="22"/>
        </w:rPr>
        <w:t xml:space="preserve">6.  Rezultati i periudhës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26"/>
        <w:gridCol w:w="2200"/>
        <w:gridCol w:w="2200"/>
      </w:tblGrid>
      <w:tr>
        <w:trPr>
          <w:tblHeader/>
        </w:trPr>
        <w:tc>
          <w:tcPr>
            <w:tcW w:type="dxa" w:w="4626"/>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left"/>
            </w:pPr>
            <w:r>
              <w:rPr>
                <w:b w:val="false"/>
                <w:bCs w:val="false"/>
                <w:color w:val="202124"/>
                <w:sz w:val="19"/>
                <w:szCs w:val="19"/>
              </w:rPr>
              <w:t xml:space="preserve"/>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30.09.2024</w:t>
            </w:r>
          </w:p>
        </w:tc>
        <w:tc>
          <w:tcPr>
            <w:tcW w:type="dxa" w:w="2200"/>
            <w:tcBorders>
              <w:top w:val="single" w:color="d1d5db" w:sz="1"/>
              <w:left w:val="single" w:color="d1d5db" w:sz="1"/>
              <w:bottom w:val="single" w:color="d1d5db" w:sz="1"/>
              <w:right w:val="single" w:color="d1d5db" w:sz="1"/>
            </w:tcBorders>
            <w:shd w:fill="e8edf5" w:color="auto" w:val="clear"/>
            <w:tcMar>
              <w:top w:type="dxa" w:w="50"/>
              <w:left w:type="dxa" w:w="110"/>
              <w:bottom w:type="dxa" w:w="50"/>
              <w:right w:type="dxa" w:w="110"/>
            </w:tcMar>
            <w:vAlign w:val="center"/>
          </w:tcPr>
          <w:p>
            <w:pPr>
              <w:spacing w:line="264"/>
              <w:jc w:val="center"/>
            </w:pPr>
            <w:r>
              <w:rPr>
                <w:b/>
                <w:bCs/>
                <w:color w:val="1e3a8a"/>
                <w:sz w:val="19"/>
                <w:szCs w:val="19"/>
              </w:rPr>
              <w:t xml:space="preserve">Periudha 30.04.2024</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Rezultati para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(30,000)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Baza e llogaritjes së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100,000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Norma e tatimit</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0%</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val="false"/>
                <w:bCs w:val="false"/>
                <w:color w:val="202124"/>
                <w:sz w:val="19"/>
                <w:szCs w:val="19"/>
              </w:rPr>
              <w:t xml:space="preserve">Tatim fitimi i thjeshtuar</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val="false"/>
                <w:bCs w:val="false"/>
                <w:color w:val="202124"/>
                <w:sz w:val="19"/>
                <w:szCs w:val="19"/>
              </w:rPr>
              <w:t xml:space="preserve">-</w:t>
            </w:r>
          </w:p>
        </w:tc>
      </w:tr>
      <w:tr>
        <w:tc>
          <w:tcPr>
            <w:tcW w:type="dxa" w:w="4626"/>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left"/>
            </w:pPr>
            <w:r>
              <w:rPr>
                <w:b/>
                <w:bCs/>
                <w:color w:val="202124"/>
                <w:sz w:val="19"/>
                <w:szCs w:val="19"/>
              </w:rPr>
              <w:t xml:space="preserve">Rezultati neto</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(30,000)</w:t>
            </w:r>
          </w:p>
        </w:tc>
        <w:tc>
          <w:tcPr>
            <w:tcW w:type="dxa" w:w="2200"/>
            <w:tcBorders>
              <w:top w:val="single" w:color="d1d5db" w:sz="1"/>
              <w:left w:val="single" w:color="d1d5db" w:sz="1"/>
              <w:bottom w:val="single" w:color="d1d5db" w:sz="1"/>
              <w:right w:val="single" w:color="d1d5db" w:sz="1"/>
            </w:tcBorders>
            <w:tcMar>
              <w:top w:type="dxa" w:w="50"/>
              <w:left w:type="dxa" w:w="110"/>
              <w:bottom w:type="dxa" w:w="50"/>
              <w:right w:type="dxa" w:w="110"/>
            </w:tcMar>
            <w:vAlign w:val="center"/>
          </w:tcPr>
          <w:p>
            <w:pPr>
              <w:spacing w:line="264"/>
              <w:jc w:val="right"/>
            </w:pPr>
            <w:r>
              <w:rPr>
                <w:b/>
                <w:bCs/>
                <w:color w:val="202124"/>
                <w:sz w:val="19"/>
                <w:szCs w:val="19"/>
              </w:rPr>
              <w:t xml:space="preserve">100,000</w:t>
            </w:r>
          </w:p>
        </w:tc>
      </w:tr>
    </w:tbl>
    <w:p>
      <w:pPr>
        <w:spacing w:after="160" w:before="120" w:line="300"/>
        <w:jc w:val="both"/>
      </w:pPr>
      <w:r>
        <w:t xml:space="preserve">Shoqëria është objekt i llogaritjes së tatimit të thjeshtuar mbi fitimin, në përputhje me parashikimet e legjislacionit tatimor në fuqi.</w:t>
      </w:r>
    </w:p>
    <w:p>
      <w:pPr>
        <w:spacing w:after="120" w:before="240" w:line="300"/>
      </w:pPr>
      <w:r>
        <w:rPr>
          <w:b/>
          <w:bCs/>
          <w:color w:val="111827"/>
          <w:sz w:val="22"/>
          <w:szCs w:val="22"/>
        </w:rPr>
        <w:t xml:space="preserve">7.  Mjetet monetare</w:t>
      </w:r>
    </w:p>
    <w:p>
      <w:pPr>
        <w:spacing w:after="160" w:before="0" w:line="300"/>
        <w:jc w:val="both"/>
      </w:pPr>
      <w:r>
        <w:t xml:space="preserve">Njësia disponon mjete monetare në arkë dhe në bankë, sipas pasqyrës së pozicionit financiar. Lëvizjet e periudhës pasqyrohen në pasqyrën e fluksit të mjeteve monetare.</w:t>
      </w:r>
    </w:p>
    <w:p>
      <w:pPr>
        <w:spacing w:after="120" w:before="240" w:line="300"/>
      </w:pPr>
      <w:r>
        <w:rPr>
          <w:b/>
          <w:bCs/>
          <w:color w:val="111827"/>
          <w:sz w:val="22"/>
          <w:szCs w:val="22"/>
        </w:rPr>
        <w:t xml:space="preserve">8.  Llogari të arkëtueshme</w:t>
      </w:r>
    </w:p>
    <w:p>
      <w:pPr>
        <w:spacing w:after="160" w:before="0" w:line="300"/>
        <w:jc w:val="both"/>
      </w:pPr>
      <w:r>
        <w:t xml:space="preserve">Në datën e mbylljes së likuidimit, të gjitha të drejtat e arkëtueshme janë arkëtuar dhe balanca është zero.</w:t>
      </w:r>
    </w:p>
    <w:p>
      <w:pPr>
        <w:spacing w:after="120" w:before="240" w:line="300"/>
      </w:pPr>
      <w:r>
        <w:rPr>
          <w:b/>
          <w:bCs/>
          <w:color w:val="111827"/>
          <w:sz w:val="22"/>
          <w:szCs w:val="22"/>
        </w:rPr>
        <w:t xml:space="preserve">9.  Të tjera aktive dhe kapitali ligjor</w:t>
      </w:r>
    </w:p>
    <w:p>
      <w:pPr>
        <w:spacing w:after="160" w:before="0" w:line="300"/>
        <w:jc w:val="both"/>
      </w:pPr>
      <w:r>
        <w:t xml:space="preserve">Në postin “Të tjera” paraqitet e drejta për t'u arkëtuar nga nënshkrimi i kapitalit ligjor, në shumën 100,000 Lekë. Kjo shumë korrespondon me kapitalin ligjor të nënshkruar të paraqitur në kapital.</w:t>
      </w:r>
    </w:p>
    <w:p>
      <w:pPr>
        <w:spacing w:after="120" w:before="240" w:line="300"/>
      </w:pPr>
      <w:r>
        <w:rPr>
          <w:b/>
          <w:bCs/>
          <w:color w:val="111827"/>
          <w:sz w:val="22"/>
          <w:szCs w:val="22"/>
        </w:rPr>
        <w:t xml:space="preserve">10.  Llogari të pagueshme</w:t>
      </w:r>
    </w:p>
    <w:p>
      <w:pPr>
        <w:spacing w:after="160" w:before="0" w:line="300"/>
        <w:jc w:val="both"/>
      </w:pPr>
      <w:r>
        <w:t xml:space="preserve">Në datën e mbylljes së likuidimit, të gjitha detyrimet ndaj furnitorëve janë shlyer dhe balanca është zero.</w:t>
      </w:r>
    </w:p>
    <w:p>
      <w:pPr>
        <w:spacing w:after="120" w:before="240" w:line="300"/>
      </w:pPr>
      <w:r>
        <w:rPr>
          <w:b/>
          <w:bCs/>
          <w:color w:val="111827"/>
          <w:sz w:val="22"/>
          <w:szCs w:val="22"/>
        </w:rPr>
        <w:t xml:space="preserve">11.  Detyrime ndaj punonjësve</w:t>
      </w:r>
    </w:p>
    <w:p>
      <w:pPr>
        <w:spacing w:after="160" w:before="0" w:line="300"/>
        <w:jc w:val="both"/>
      </w:pPr>
      <w:r>
        <w:t xml:space="preserve">Në datën e mbylljes së likuidimit, marrëdhëniet me punonjësit janë rregulluar dhe nuk ka detyrime të papaguara.</w:t>
      </w:r>
    </w:p>
    <w:p>
      <w:pPr>
        <w:spacing w:after="120" w:before="240" w:line="300"/>
      </w:pPr>
      <w:r>
        <w:rPr>
          <w:b/>
          <w:bCs/>
          <w:color w:val="111827"/>
          <w:sz w:val="22"/>
          <w:szCs w:val="22"/>
        </w:rPr>
        <w:t xml:space="preserve">12.  Detyrime tatimore</w:t>
      </w:r>
    </w:p>
    <w:p>
      <w:pPr>
        <w:spacing w:after="160" w:before="0" w:line="300"/>
        <w:jc w:val="both"/>
      </w:pPr>
      <w:r>
        <w:t xml:space="preserve">Në datën e mbylljes së likuidimit, të gjitha detyrimet tatimore janë shlyer dhe balanca është zero.</w:t>
      </w:r>
    </w:p>
    <w:p>
      <w:pPr>
        <w:spacing w:after="120" w:before="240" w:line="300"/>
      </w:pPr>
      <w:r>
        <w:rPr>
          <w:b/>
          <w:bCs/>
          <w:color w:val="111827"/>
          <w:sz w:val="22"/>
          <w:szCs w:val="22"/>
        </w:rPr>
        <w:t xml:space="preserve">13.  Fitime të mbartura</w:t>
      </w:r>
    </w:p>
    <w:p>
      <w:pPr>
        <w:spacing w:after="160" w:before="0" w:line="300"/>
        <w:jc w:val="both"/>
      </w:pPr>
      <w:r>
        <w:t xml:space="preserve">Këtu paraqiten fitimet e mbartura nga periudhat e mëparshme, në shumën 235,000 Lekë, që përfaqësojnë rezultatin e akumuluar përpara periudhës së fundit të likuidimit.</w:t>
      </w:r>
    </w:p>
    <w:p>
      <w:pPr>
        <w:spacing w:after="120" w:before="240" w:line="300"/>
      </w:pPr>
      <w:r>
        <w:rPr>
          <w:b/>
          <w:bCs/>
          <w:color w:val="111827"/>
          <w:sz w:val="22"/>
          <w:szCs w:val="22"/>
        </w:rPr>
        <w:t xml:space="preserve">Miratimi i pasqyrave financiare</w:t>
      </w:r>
    </w:p>
    <w:p>
      <w:pPr>
        <w:spacing w:after="160" w:before="0" w:line="300"/>
        <w:jc w:val="both"/>
      </w:pPr>
      <w:r>
        <w:t xml:space="preserve">Këto pasqyra janë miratuar dhe autorizuar për t'u publikuar nga likuiduesi më [dd.mm.vvvv].</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spacing w:before="60"/>
    </w:pPr>
    <w:r>
      <w:rPr>
        <w:color w:val="9ca3af"/>
        <w:sz w:val="15"/>
        <w:szCs w:val="15"/>
      </w:rPr>
      <w:t xml:space="preserve">“[EMRI I SHOQËRISË]” shpk · Pasqyrat financiare të mbylljes së likuidimit</w:t>
    </w:r>
    <w:r>
      <w:rPr>
        <w:color w:val="9ca3af"/>
        <w:sz w:val="15"/>
        <w:szCs w:val="15"/>
      </w:rPr>
      <w:t xml:space="preserve">          Model nga AlProfit Consult · alprofitconsult.al · Faqe </w:t>
    </w:r>
    <w:r>
      <w:rPr>
        <w:color w:val="9ca3af"/>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021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2026-06-28T13:31:03.633Z</dcterms:created>
  <dcterms:modified xsi:type="dcterms:W3CDTF">2026-06-28T13:31:03.633Z</dcterms:modified>
</cp:coreProperties>
</file>

<file path=docProps/custom.xml><?xml version="1.0" encoding="utf-8"?>
<Properties xmlns="http://schemas.openxmlformats.org/officeDocument/2006/custom-properties" xmlns:vt="http://schemas.openxmlformats.org/officeDocument/2006/docPropsVTypes"/>
</file>